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header2.xml" ContentType="application/vnd.openxmlformats-officedocument.wordprocessingml.header+xml"/>
  <Default Extension="png" ContentType="image/png"/>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r>
        <w:rPr/>
        <w:drawing>
          <wp:anchor distT="0" distB="0" distL="0" distR="0" allowOverlap="1" layoutInCell="1" locked="0" behindDoc="0" simplePos="0" relativeHeight="251658240">
            <wp:simplePos x="0" y="0"/>
            <wp:positionH relativeFrom="page">
              <wp:posOffset>701040</wp:posOffset>
            </wp:positionH>
            <wp:positionV relativeFrom="page">
              <wp:posOffset>359664</wp:posOffset>
            </wp:positionV>
            <wp:extent cx="565708" cy="526694"/>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565708" cy="526694"/>
                    </a:xfrm>
                    <a:prstGeom prst="rect">
                      <a:avLst/>
                    </a:prstGeom>
                  </pic:spPr>
                </pic:pic>
              </a:graphicData>
            </a:graphic>
          </wp:anchor>
        </w:drawing>
      </w:r>
    </w:p>
    <w:p>
      <w:pPr>
        <w:pStyle w:val="BodyText"/>
        <w:rPr>
          <w:rFonts w:ascii="Times New Roman"/>
          <w:sz w:val="20"/>
        </w:rPr>
      </w:pPr>
    </w:p>
    <w:p>
      <w:pPr>
        <w:pStyle w:val="BodyText"/>
        <w:rPr>
          <w:rFonts w:ascii="Times New Roman"/>
          <w:sz w:val="20"/>
        </w:rPr>
      </w:pPr>
    </w:p>
    <w:p>
      <w:pPr>
        <w:pStyle w:val="BodyText"/>
        <w:spacing w:before="7"/>
        <w:rPr>
          <w:rFonts w:ascii="Times New Roman"/>
          <w:sz w:val="21"/>
        </w:rPr>
      </w:pPr>
    </w:p>
    <w:p>
      <w:pPr>
        <w:spacing w:line="278" w:lineRule="exact" w:before="0"/>
        <w:ind w:left="104" w:right="0" w:firstLine="0"/>
        <w:jc w:val="left"/>
        <w:rPr>
          <w:rFonts w:ascii="Verdana"/>
          <w:sz w:val="23"/>
        </w:rPr>
      </w:pPr>
      <w:r>
        <w:rPr>
          <w:rFonts w:ascii="Verdana"/>
          <w:sz w:val="23"/>
        </w:rPr>
        <w:t>ISO/TC 154</w:t>
      </w:r>
    </w:p>
    <w:p>
      <w:pPr>
        <w:spacing w:line="237" w:lineRule="auto" w:before="1"/>
        <w:ind w:left="104" w:right="1719" w:firstLine="0"/>
        <w:jc w:val="left"/>
        <w:rPr>
          <w:rFonts w:ascii="Verdana"/>
          <w:sz w:val="23"/>
        </w:rPr>
      </w:pPr>
      <w:r>
        <w:rPr>
          <w:rFonts w:ascii="Verdana"/>
          <w:sz w:val="23"/>
        </w:rPr>
        <w:t>Processes, data elements and documents in commerce, industry and administration</w:t>
      </w:r>
    </w:p>
    <w:p>
      <w:pPr>
        <w:pStyle w:val="BodyText"/>
        <w:spacing w:before="8"/>
        <w:rPr>
          <w:rFonts w:ascii="Verdana"/>
        </w:rPr>
      </w:pPr>
    </w:p>
    <w:p>
      <w:pPr>
        <w:spacing w:line="237" w:lineRule="auto" w:before="0"/>
        <w:ind w:left="104" w:right="3605" w:firstLine="0"/>
        <w:jc w:val="left"/>
        <w:rPr>
          <w:rFonts w:ascii="Verdana"/>
          <w:sz w:val="23"/>
        </w:rPr>
      </w:pPr>
      <w:r>
        <w:rPr>
          <w:rFonts w:ascii="Verdana"/>
          <w:sz w:val="23"/>
        </w:rPr>
        <w:t>Email of committee manager: </w:t>
      </w:r>
      <w:hyperlink r:id="rId7">
        <w:r>
          <w:rPr>
            <w:rFonts w:ascii="Verdana"/>
            <w:color w:val="0000ED"/>
            <w:sz w:val="23"/>
            <w:u w:val="single" w:color="0000ED"/>
          </w:rPr>
          <w:t>zhangjf@cnis.ac.cn</w:t>
        </w:r>
      </w:hyperlink>
      <w:r>
        <w:rPr>
          <w:rFonts w:ascii="Verdana"/>
          <w:color w:val="0000ED"/>
          <w:sz w:val="23"/>
        </w:rPr>
        <w:t> </w:t>
      </w:r>
      <w:r>
        <w:rPr>
          <w:rFonts w:ascii="Verdana"/>
          <w:sz w:val="23"/>
        </w:rPr>
        <w:t>Secretariat: SAC (China)</w:t>
      </w:r>
    </w:p>
    <w:p>
      <w:pPr>
        <w:pStyle w:val="BodyText"/>
        <w:rPr>
          <w:rFonts w:ascii="Verdana"/>
          <w:sz w:val="26"/>
        </w:rPr>
      </w:pPr>
    </w:p>
    <w:p>
      <w:pPr>
        <w:pStyle w:val="BodyText"/>
        <w:spacing w:before="10"/>
        <w:rPr>
          <w:rFonts w:ascii="Verdana"/>
          <w:sz w:val="33"/>
        </w:rPr>
      </w:pPr>
    </w:p>
    <w:p>
      <w:pPr>
        <w:spacing w:before="1"/>
        <w:ind w:left="104" w:right="0" w:firstLine="0"/>
        <w:jc w:val="left"/>
        <w:rPr>
          <w:rFonts w:ascii="Gill Sans MT"/>
          <w:b/>
          <w:sz w:val="24"/>
        </w:rPr>
      </w:pPr>
      <w:r>
        <w:rPr>
          <w:rFonts w:ascii="Gill Sans MT"/>
          <w:b/>
          <w:w w:val="130"/>
          <w:sz w:val="24"/>
        </w:rPr>
        <w:t>updated business plan in 2020</w:t>
      </w:r>
    </w:p>
    <w:p>
      <w:pPr>
        <w:tabs>
          <w:tab w:pos="2791" w:val="left" w:leader="none"/>
        </w:tabs>
        <w:spacing w:line="568" w:lineRule="auto" w:before="194"/>
        <w:ind w:left="104" w:right="3605" w:firstLine="0"/>
        <w:jc w:val="left"/>
        <w:rPr>
          <w:rFonts w:ascii="Verdana"/>
          <w:sz w:val="24"/>
        </w:rPr>
      </w:pPr>
      <w:r>
        <w:rPr>
          <w:rFonts w:ascii="Verdana"/>
          <w:sz w:val="24"/>
        </w:rPr>
        <w:t>Document</w:t>
      </w:r>
      <w:r>
        <w:rPr>
          <w:rFonts w:ascii="Verdana"/>
          <w:spacing w:val="4"/>
          <w:sz w:val="24"/>
        </w:rPr>
        <w:t> </w:t>
      </w:r>
      <w:r>
        <w:rPr>
          <w:rFonts w:ascii="Verdana"/>
          <w:sz w:val="24"/>
        </w:rPr>
        <w:t>type:</w:t>
        <w:tab/>
        <w:t>Other committee document Date</w:t>
      </w:r>
      <w:r>
        <w:rPr>
          <w:rFonts w:ascii="Verdana"/>
          <w:spacing w:val="3"/>
          <w:sz w:val="24"/>
        </w:rPr>
        <w:t> </w:t>
      </w:r>
      <w:r>
        <w:rPr>
          <w:rFonts w:ascii="Verdana"/>
          <w:sz w:val="24"/>
        </w:rPr>
        <w:t>of</w:t>
      </w:r>
      <w:r>
        <w:rPr>
          <w:rFonts w:ascii="Verdana"/>
          <w:spacing w:val="3"/>
          <w:sz w:val="24"/>
        </w:rPr>
        <w:t> </w:t>
      </w:r>
      <w:r>
        <w:rPr>
          <w:rFonts w:ascii="Verdana"/>
          <w:sz w:val="24"/>
        </w:rPr>
        <w:t>document:</w:t>
        <w:tab/>
        <w:t>2020-08-26</w:t>
      </w:r>
    </w:p>
    <w:p>
      <w:pPr>
        <w:tabs>
          <w:tab w:pos="2791" w:val="left" w:leader="none"/>
        </w:tabs>
        <w:spacing w:before="0"/>
        <w:ind w:left="104" w:right="0" w:firstLine="0"/>
        <w:jc w:val="left"/>
        <w:rPr>
          <w:rFonts w:ascii="Verdana"/>
          <w:sz w:val="24"/>
        </w:rPr>
      </w:pPr>
      <w:r>
        <w:rPr>
          <w:rFonts w:ascii="Verdana"/>
          <w:sz w:val="24"/>
        </w:rPr>
        <w:t>Expected</w:t>
      </w:r>
      <w:r>
        <w:rPr>
          <w:rFonts w:ascii="Verdana"/>
          <w:spacing w:val="9"/>
          <w:sz w:val="24"/>
        </w:rPr>
        <w:t> </w:t>
      </w:r>
      <w:r>
        <w:rPr>
          <w:rFonts w:ascii="Verdana"/>
          <w:sz w:val="24"/>
        </w:rPr>
        <w:t>action:</w:t>
        <w:tab/>
        <w:t>INFO</w:t>
      </w:r>
    </w:p>
    <w:p>
      <w:pPr>
        <w:pStyle w:val="BodyText"/>
        <w:spacing w:before="11"/>
        <w:rPr>
          <w:rFonts w:ascii="Verdana"/>
          <w:sz w:val="32"/>
        </w:rPr>
      </w:pPr>
    </w:p>
    <w:p>
      <w:pPr>
        <w:tabs>
          <w:tab w:pos="2791" w:val="left" w:leader="none"/>
        </w:tabs>
        <w:spacing w:before="0"/>
        <w:ind w:left="2792" w:right="101" w:hanging="2688"/>
        <w:jc w:val="left"/>
        <w:rPr>
          <w:rFonts w:ascii="Verdana"/>
          <w:sz w:val="24"/>
        </w:rPr>
      </w:pPr>
      <w:r>
        <w:rPr>
          <w:rFonts w:ascii="Verdana"/>
          <w:w w:val="105"/>
          <w:sz w:val="24"/>
        </w:rPr>
        <w:t>Background:</w:t>
        <w:tab/>
        <w:t>WG5</w:t>
      </w:r>
      <w:r>
        <w:rPr>
          <w:rFonts w:ascii="Verdana"/>
          <w:spacing w:val="-31"/>
          <w:w w:val="105"/>
          <w:sz w:val="24"/>
        </w:rPr>
        <w:t> </w:t>
      </w:r>
      <w:r>
        <w:rPr>
          <w:rFonts w:ascii="Verdana"/>
          <w:w w:val="105"/>
          <w:sz w:val="24"/>
        </w:rPr>
        <w:t>updated</w:t>
      </w:r>
      <w:r>
        <w:rPr>
          <w:rFonts w:ascii="Verdana"/>
          <w:spacing w:val="-30"/>
          <w:w w:val="105"/>
          <w:sz w:val="24"/>
        </w:rPr>
        <w:t> </w:t>
      </w:r>
      <w:r>
        <w:rPr>
          <w:rFonts w:ascii="Verdana"/>
          <w:w w:val="105"/>
          <w:sz w:val="24"/>
        </w:rPr>
        <w:t>its</w:t>
      </w:r>
      <w:r>
        <w:rPr>
          <w:rFonts w:ascii="Verdana"/>
          <w:spacing w:val="-30"/>
          <w:w w:val="105"/>
          <w:sz w:val="24"/>
        </w:rPr>
        <w:t> </w:t>
      </w:r>
      <w:r>
        <w:rPr>
          <w:rFonts w:ascii="Verdana"/>
          <w:w w:val="105"/>
          <w:sz w:val="24"/>
        </w:rPr>
        <w:t>scope,</w:t>
      </w:r>
      <w:r>
        <w:rPr>
          <w:rFonts w:ascii="Verdana"/>
          <w:spacing w:val="-30"/>
          <w:w w:val="105"/>
          <w:sz w:val="24"/>
        </w:rPr>
        <w:t> </w:t>
      </w:r>
      <w:r>
        <w:rPr>
          <w:rFonts w:ascii="Verdana"/>
          <w:w w:val="105"/>
          <w:sz w:val="24"/>
        </w:rPr>
        <w:t>WG4</w:t>
      </w:r>
      <w:r>
        <w:rPr>
          <w:rFonts w:ascii="Verdana"/>
          <w:spacing w:val="-30"/>
          <w:w w:val="105"/>
          <w:sz w:val="24"/>
        </w:rPr>
        <w:t> </w:t>
      </w:r>
      <w:r>
        <w:rPr>
          <w:rFonts w:ascii="Verdana"/>
          <w:w w:val="105"/>
          <w:sz w:val="24"/>
        </w:rPr>
        <w:t>has</w:t>
      </w:r>
      <w:r>
        <w:rPr>
          <w:rFonts w:ascii="Verdana"/>
          <w:spacing w:val="-30"/>
          <w:w w:val="105"/>
          <w:sz w:val="24"/>
        </w:rPr>
        <w:t> </w:t>
      </w:r>
      <w:r>
        <w:rPr>
          <w:rFonts w:ascii="Verdana"/>
          <w:w w:val="105"/>
          <w:sz w:val="24"/>
        </w:rPr>
        <w:t>established,</w:t>
      </w:r>
      <w:r>
        <w:rPr>
          <w:rFonts w:ascii="Verdana"/>
          <w:spacing w:val="-30"/>
          <w:w w:val="105"/>
          <w:sz w:val="24"/>
        </w:rPr>
        <w:t> </w:t>
      </w:r>
      <w:r>
        <w:rPr>
          <w:rFonts w:ascii="Verdana"/>
          <w:w w:val="105"/>
          <w:sz w:val="24"/>
        </w:rPr>
        <w:t>members number</w:t>
      </w:r>
      <w:r>
        <w:rPr>
          <w:rFonts w:ascii="Verdana"/>
          <w:spacing w:val="-25"/>
          <w:w w:val="105"/>
          <w:sz w:val="24"/>
        </w:rPr>
        <w:t> </w:t>
      </w:r>
      <w:r>
        <w:rPr>
          <w:rFonts w:ascii="Verdana"/>
          <w:w w:val="105"/>
          <w:sz w:val="24"/>
        </w:rPr>
        <w:t>and</w:t>
      </w:r>
      <w:r>
        <w:rPr>
          <w:rFonts w:ascii="Verdana"/>
          <w:spacing w:val="-25"/>
          <w:w w:val="105"/>
          <w:sz w:val="24"/>
        </w:rPr>
        <w:t> </w:t>
      </w:r>
      <w:r>
        <w:rPr>
          <w:rFonts w:ascii="Verdana"/>
          <w:w w:val="105"/>
          <w:sz w:val="24"/>
        </w:rPr>
        <w:t>liaison</w:t>
      </w:r>
      <w:r>
        <w:rPr>
          <w:rFonts w:ascii="Verdana"/>
          <w:spacing w:val="-25"/>
          <w:w w:val="105"/>
          <w:sz w:val="24"/>
        </w:rPr>
        <w:t> </w:t>
      </w:r>
      <w:r>
        <w:rPr>
          <w:rFonts w:ascii="Verdana"/>
          <w:w w:val="105"/>
          <w:sz w:val="24"/>
        </w:rPr>
        <w:t>number</w:t>
      </w:r>
      <w:r>
        <w:rPr>
          <w:rFonts w:ascii="Verdana"/>
          <w:spacing w:val="-24"/>
          <w:w w:val="105"/>
          <w:sz w:val="24"/>
        </w:rPr>
        <w:t> </w:t>
      </w:r>
      <w:r>
        <w:rPr>
          <w:rFonts w:ascii="Verdana"/>
          <w:w w:val="105"/>
          <w:sz w:val="24"/>
        </w:rPr>
        <w:t>of</w:t>
      </w:r>
      <w:r>
        <w:rPr>
          <w:rFonts w:ascii="Verdana"/>
          <w:spacing w:val="-25"/>
          <w:w w:val="105"/>
          <w:sz w:val="24"/>
        </w:rPr>
        <w:t> </w:t>
      </w:r>
      <w:r>
        <w:rPr>
          <w:rFonts w:ascii="Verdana"/>
          <w:w w:val="105"/>
          <w:sz w:val="24"/>
        </w:rPr>
        <w:t>TC154</w:t>
      </w:r>
      <w:r>
        <w:rPr>
          <w:rFonts w:ascii="Verdana"/>
          <w:spacing w:val="-25"/>
          <w:w w:val="105"/>
          <w:sz w:val="24"/>
        </w:rPr>
        <w:t> </w:t>
      </w:r>
      <w:r>
        <w:rPr>
          <w:rFonts w:ascii="Verdana"/>
          <w:w w:val="105"/>
          <w:sz w:val="24"/>
        </w:rPr>
        <w:t>are</w:t>
      </w:r>
      <w:r>
        <w:rPr>
          <w:rFonts w:ascii="Verdana"/>
          <w:spacing w:val="-24"/>
          <w:w w:val="105"/>
          <w:sz w:val="24"/>
        </w:rPr>
        <w:t> </w:t>
      </w:r>
      <w:r>
        <w:rPr>
          <w:rFonts w:ascii="Verdana"/>
          <w:w w:val="105"/>
          <w:sz w:val="24"/>
        </w:rPr>
        <w:t>updated.</w:t>
      </w:r>
      <w:r>
        <w:rPr>
          <w:rFonts w:ascii="Verdana"/>
          <w:spacing w:val="-25"/>
          <w:w w:val="105"/>
          <w:sz w:val="24"/>
        </w:rPr>
        <w:t> </w:t>
      </w:r>
      <w:r>
        <w:rPr>
          <w:rFonts w:ascii="Verdana"/>
          <w:w w:val="105"/>
          <w:sz w:val="24"/>
        </w:rPr>
        <w:t>The business plan was updated</w:t>
      </w:r>
      <w:r>
        <w:rPr>
          <w:rFonts w:ascii="Verdana"/>
          <w:spacing w:val="-56"/>
          <w:w w:val="105"/>
          <w:sz w:val="24"/>
        </w:rPr>
        <w:t> </w:t>
      </w:r>
      <w:r>
        <w:rPr>
          <w:rFonts w:ascii="Verdana"/>
          <w:w w:val="105"/>
          <w:sz w:val="24"/>
        </w:rPr>
        <w:t>accordingly,</w:t>
      </w:r>
    </w:p>
    <w:p>
      <w:pPr>
        <w:spacing w:before="0"/>
        <w:ind w:left="2792" w:right="548" w:firstLine="0"/>
        <w:jc w:val="left"/>
        <w:rPr>
          <w:rFonts w:ascii="Verdana"/>
          <w:sz w:val="24"/>
        </w:rPr>
      </w:pPr>
      <w:r>
        <w:rPr>
          <w:rFonts w:ascii="Verdana"/>
          <w:w w:val="105"/>
          <w:sz w:val="24"/>
        </w:rPr>
        <w:t>and</w:t>
      </w:r>
      <w:r>
        <w:rPr>
          <w:rFonts w:ascii="Verdana"/>
          <w:spacing w:val="-26"/>
          <w:w w:val="105"/>
          <w:sz w:val="24"/>
        </w:rPr>
        <w:t> </w:t>
      </w:r>
      <w:r>
        <w:rPr>
          <w:rFonts w:ascii="Verdana"/>
          <w:w w:val="105"/>
          <w:sz w:val="24"/>
        </w:rPr>
        <w:t>was</w:t>
      </w:r>
      <w:r>
        <w:rPr>
          <w:rFonts w:ascii="Verdana"/>
          <w:spacing w:val="-25"/>
          <w:w w:val="105"/>
          <w:sz w:val="24"/>
        </w:rPr>
        <w:t> </w:t>
      </w:r>
      <w:r>
        <w:rPr>
          <w:rFonts w:ascii="Verdana"/>
          <w:w w:val="105"/>
          <w:sz w:val="24"/>
        </w:rPr>
        <w:t>approved</w:t>
      </w:r>
      <w:r>
        <w:rPr>
          <w:rFonts w:ascii="Verdana"/>
          <w:spacing w:val="-26"/>
          <w:w w:val="105"/>
          <w:sz w:val="24"/>
        </w:rPr>
        <w:t> </w:t>
      </w:r>
      <w:r>
        <w:rPr>
          <w:rFonts w:ascii="Verdana"/>
          <w:w w:val="105"/>
          <w:sz w:val="24"/>
        </w:rPr>
        <w:t>in</w:t>
      </w:r>
      <w:r>
        <w:rPr>
          <w:rFonts w:ascii="Verdana"/>
          <w:spacing w:val="-25"/>
          <w:w w:val="105"/>
          <w:sz w:val="24"/>
        </w:rPr>
        <w:t> </w:t>
      </w:r>
      <w:r>
        <w:rPr>
          <w:rFonts w:ascii="Verdana"/>
          <w:w w:val="105"/>
          <w:sz w:val="24"/>
        </w:rPr>
        <w:t>39th</w:t>
      </w:r>
      <w:r>
        <w:rPr>
          <w:rFonts w:ascii="Verdana"/>
          <w:spacing w:val="-26"/>
          <w:w w:val="105"/>
          <w:sz w:val="24"/>
        </w:rPr>
        <w:t> </w:t>
      </w:r>
      <w:r>
        <w:rPr>
          <w:rFonts w:ascii="Verdana"/>
          <w:w w:val="105"/>
          <w:sz w:val="24"/>
        </w:rPr>
        <w:t>virtual</w:t>
      </w:r>
      <w:r>
        <w:rPr>
          <w:rFonts w:ascii="Verdana"/>
          <w:spacing w:val="-25"/>
          <w:w w:val="105"/>
          <w:sz w:val="24"/>
        </w:rPr>
        <w:t> </w:t>
      </w:r>
      <w:r>
        <w:rPr>
          <w:rFonts w:ascii="Verdana"/>
          <w:w w:val="105"/>
          <w:sz w:val="24"/>
        </w:rPr>
        <w:t>plenary</w:t>
      </w:r>
      <w:r>
        <w:rPr>
          <w:rFonts w:ascii="Verdana"/>
          <w:spacing w:val="-26"/>
          <w:w w:val="105"/>
          <w:sz w:val="24"/>
        </w:rPr>
        <w:t> </w:t>
      </w:r>
      <w:r>
        <w:rPr>
          <w:rFonts w:ascii="Verdana"/>
          <w:w w:val="105"/>
          <w:sz w:val="24"/>
        </w:rPr>
        <w:t>meeting</w:t>
      </w:r>
      <w:r>
        <w:rPr>
          <w:rFonts w:ascii="Verdana"/>
          <w:spacing w:val="-25"/>
          <w:w w:val="105"/>
          <w:sz w:val="24"/>
        </w:rPr>
        <w:t> </w:t>
      </w:r>
      <w:r>
        <w:rPr>
          <w:rFonts w:ascii="Verdana"/>
          <w:w w:val="105"/>
          <w:sz w:val="24"/>
        </w:rPr>
        <w:t>in 2020.</w:t>
      </w:r>
    </w:p>
    <w:p>
      <w:pPr>
        <w:pStyle w:val="BodyText"/>
        <w:spacing w:before="11"/>
        <w:rPr>
          <w:rFonts w:ascii="Verdana"/>
          <w:sz w:val="32"/>
        </w:rPr>
      </w:pPr>
    </w:p>
    <w:p>
      <w:pPr>
        <w:tabs>
          <w:tab w:pos="2791" w:val="left" w:leader="none"/>
        </w:tabs>
        <w:spacing w:before="0"/>
        <w:ind w:left="104" w:right="0" w:firstLine="0"/>
        <w:jc w:val="left"/>
        <w:rPr>
          <w:rFonts w:ascii="Verdana"/>
          <w:sz w:val="24"/>
        </w:rPr>
      </w:pPr>
      <w:r>
        <w:rPr>
          <w:rFonts w:ascii="Verdana"/>
          <w:sz w:val="24"/>
        </w:rPr>
        <w:t>Committee</w:t>
      </w:r>
      <w:r>
        <w:rPr>
          <w:rFonts w:ascii="Verdana"/>
          <w:spacing w:val="-1"/>
          <w:sz w:val="24"/>
        </w:rPr>
        <w:t> </w:t>
      </w:r>
      <w:r>
        <w:rPr>
          <w:rFonts w:ascii="Verdana"/>
          <w:sz w:val="24"/>
        </w:rPr>
        <w:t>URL:</w:t>
        <w:tab/>
      </w:r>
      <w:hyperlink r:id="rId8">
        <w:r>
          <w:rPr>
            <w:rFonts w:ascii="Verdana"/>
            <w:color w:val="0000ED"/>
            <w:sz w:val="24"/>
            <w:u w:val="single" w:color="0000ED"/>
          </w:rPr>
          <w:t>https://isotc.iso.org/livelink/livelink/open/tc154</w:t>
        </w:r>
      </w:hyperlink>
    </w:p>
    <w:p>
      <w:pPr>
        <w:spacing w:after="0"/>
        <w:jc w:val="left"/>
        <w:rPr>
          <w:rFonts w:ascii="Verdana"/>
          <w:sz w:val="24"/>
        </w:rPr>
        <w:sectPr>
          <w:headerReference w:type="default" r:id="rId5"/>
          <w:type w:val="continuous"/>
          <w:pgSz w:w="11900" w:h="16840"/>
          <w:pgMar w:header="629" w:top="1140" w:bottom="280" w:left="1000" w:right="1080"/>
        </w:sectPr>
      </w:pPr>
    </w:p>
    <w:p>
      <w:pPr>
        <w:pStyle w:val="BodyText"/>
        <w:spacing w:line="252" w:lineRule="exact"/>
        <w:ind w:right="127"/>
        <w:jc w:val="right"/>
      </w:pPr>
      <w:r>
        <w:rPr/>
        <w:t>Date:</w:t>
      </w:r>
      <w:r>
        <w:rPr>
          <w:spacing w:val="-5"/>
        </w:rPr>
        <w:t> </w:t>
      </w:r>
      <w:r>
        <w:rPr/>
        <w:t>2020-08-27</w:t>
      </w:r>
    </w:p>
    <w:p>
      <w:pPr>
        <w:pStyle w:val="BodyText"/>
        <w:spacing w:line="480" w:lineRule="auto" w:before="1"/>
        <w:ind w:left="8508" w:right="127" w:hanging="467"/>
        <w:jc w:val="right"/>
      </w:pPr>
      <w:r>
        <w:rPr/>
        <w:t>Document:</w:t>
      </w:r>
      <w:r>
        <w:rPr>
          <w:spacing w:val="3"/>
        </w:rPr>
        <w:t> </w:t>
      </w:r>
      <w:r>
        <w:rPr>
          <w:spacing w:val="-4"/>
        </w:rPr>
        <w:t>N117</w:t>
      </w:r>
      <w:r>
        <w:rPr>
          <w:w w:val="100"/>
        </w:rPr>
        <w:t> </w:t>
      </w:r>
      <w:r>
        <w:rPr/>
        <w:t>Page: 1 of</w:t>
      </w:r>
      <w:r>
        <w:rPr>
          <w:spacing w:val="-1"/>
        </w:rPr>
        <w:t> </w:t>
      </w:r>
      <w:r>
        <w:rPr>
          <w:spacing w:val="-15"/>
        </w:rPr>
        <w:t>7</w:t>
      </w:r>
    </w:p>
    <w:p>
      <w:pPr>
        <w:spacing w:after="0" w:line="480" w:lineRule="auto"/>
        <w:jc w:val="right"/>
        <w:sectPr>
          <w:headerReference w:type="default" r:id="rId9"/>
          <w:pgSz w:w="11910" w:h="16850"/>
          <w:pgMar w:header="724" w:footer="0" w:top="960" w:bottom="280" w:left="1060" w:right="1020"/>
        </w:sectPr>
      </w:pPr>
    </w:p>
    <w:p>
      <w:pPr>
        <w:spacing w:before="99"/>
        <w:ind w:left="680" w:right="0" w:firstLine="0"/>
        <w:jc w:val="left"/>
        <w:rPr>
          <w:b/>
          <w:sz w:val="28"/>
        </w:rPr>
      </w:pPr>
      <w:r>
        <w:rPr>
          <w:b/>
          <w:sz w:val="28"/>
        </w:rPr>
        <w:t>BUSINESS PLAN</w:t>
      </w:r>
    </w:p>
    <w:p>
      <w:pPr>
        <w:pStyle w:val="BodyText"/>
        <w:rPr>
          <w:b/>
          <w:sz w:val="24"/>
        </w:rPr>
      </w:pPr>
      <w:r>
        <w:rPr/>
        <w:br w:type="column"/>
      </w:r>
      <w:r>
        <w:rPr>
          <w:b/>
          <w:sz w:val="24"/>
        </w:rPr>
      </w:r>
    </w:p>
    <w:p>
      <w:pPr>
        <w:pStyle w:val="BodyText"/>
        <w:spacing w:before="10"/>
        <w:rPr>
          <w:b/>
        </w:rPr>
      </w:pPr>
    </w:p>
    <w:p>
      <w:pPr>
        <w:pStyle w:val="Heading2"/>
      </w:pPr>
      <w:r>
        <w:rPr/>
        <w:t>ISO/TC 154</w:t>
      </w:r>
    </w:p>
    <w:p>
      <w:pPr>
        <w:spacing w:after="0"/>
        <w:sectPr>
          <w:type w:val="continuous"/>
          <w:pgSz w:w="11910" w:h="16850"/>
          <w:pgMar w:top="1140" w:bottom="280" w:left="1060" w:right="1020"/>
          <w:cols w:num="2" w:equalWidth="0">
            <w:col w:w="2989" w:space="698"/>
            <w:col w:w="6143"/>
          </w:cols>
        </w:sectPr>
      </w:pPr>
    </w:p>
    <w:p>
      <w:pPr>
        <w:spacing w:line="252" w:lineRule="exact" w:before="0"/>
        <w:ind w:left="0" w:right="0" w:firstLine="0"/>
        <w:jc w:val="center"/>
        <w:rPr>
          <w:b/>
          <w:sz w:val="22"/>
        </w:rPr>
      </w:pPr>
      <w:r>
        <w:rPr/>
        <w:drawing>
          <wp:anchor distT="0" distB="0" distL="0" distR="0" allowOverlap="1" layoutInCell="1" locked="0" behindDoc="0" simplePos="0" relativeHeight="251659264">
            <wp:simplePos x="0" y="0"/>
            <wp:positionH relativeFrom="page">
              <wp:posOffset>749934</wp:posOffset>
            </wp:positionH>
            <wp:positionV relativeFrom="page">
              <wp:posOffset>457199</wp:posOffset>
            </wp:positionV>
            <wp:extent cx="903604" cy="839389"/>
            <wp:effectExtent l="0" t="0" r="0" b="0"/>
            <wp:wrapNone/>
            <wp:docPr id="3" name="image2.png"/>
            <wp:cNvGraphicFramePr>
              <a:graphicFrameLocks noChangeAspect="1"/>
            </wp:cNvGraphicFramePr>
            <a:graphic>
              <a:graphicData uri="http://schemas.openxmlformats.org/drawingml/2006/picture">
                <pic:pic>
                  <pic:nvPicPr>
                    <pic:cNvPr id="4" name="image2.png"/>
                    <pic:cNvPicPr/>
                  </pic:nvPicPr>
                  <pic:blipFill>
                    <a:blip r:embed="rId10" cstate="print"/>
                    <a:stretch>
                      <a:fillRect/>
                    </a:stretch>
                  </pic:blipFill>
                  <pic:spPr>
                    <a:xfrm>
                      <a:off x="0" y="0"/>
                      <a:ext cx="903604" cy="839389"/>
                    </a:xfrm>
                    <a:prstGeom prst="rect">
                      <a:avLst/>
                    </a:prstGeom>
                  </pic:spPr>
                </pic:pic>
              </a:graphicData>
            </a:graphic>
          </wp:anchor>
        </w:drawing>
      </w:r>
      <w:r>
        <w:rPr>
          <w:b/>
          <w:sz w:val="22"/>
        </w:rPr>
        <w:t>Processes, data elements and documents in commerce, industry and administration</w:t>
      </w:r>
    </w:p>
    <w:p>
      <w:pPr>
        <w:pStyle w:val="BodyText"/>
        <w:rPr>
          <w:b/>
          <w:sz w:val="24"/>
        </w:rPr>
      </w:pPr>
    </w:p>
    <w:p>
      <w:pPr>
        <w:pStyle w:val="BodyText"/>
        <w:spacing w:before="10"/>
        <w:rPr>
          <w:b/>
          <w:sz w:val="19"/>
        </w:rPr>
      </w:pPr>
    </w:p>
    <w:p>
      <w:pPr>
        <w:spacing w:before="1"/>
        <w:ind w:left="0" w:right="0" w:firstLine="0"/>
        <w:jc w:val="center"/>
        <w:rPr>
          <w:b/>
          <w:sz w:val="22"/>
        </w:rPr>
      </w:pPr>
      <w:r>
        <w:rPr>
          <w:b/>
          <w:sz w:val="22"/>
          <w:u w:val="thick"/>
        </w:rPr>
        <w:t>EXECUTIVE SUMMARY</w:t>
      </w:r>
    </w:p>
    <w:p>
      <w:pPr>
        <w:pStyle w:val="BodyText"/>
        <w:spacing w:before="1"/>
        <w:rPr>
          <w:b/>
          <w:sz w:val="14"/>
        </w:rPr>
      </w:pPr>
    </w:p>
    <w:p>
      <w:pPr>
        <w:pStyle w:val="BodyText"/>
        <w:spacing w:before="93"/>
        <w:ind w:left="113" w:right="157"/>
      </w:pPr>
      <w:r>
        <w:rPr/>
        <w:t>It is the vision of ISO/TC 154 that all parties in the supply and value chain use standardized data exchange to reduce cost in managing the processes in the private and public domain and to foster trade facilitation.</w:t>
      </w:r>
    </w:p>
    <w:p>
      <w:pPr>
        <w:pStyle w:val="BodyText"/>
        <w:spacing w:before="2"/>
      </w:pPr>
    </w:p>
    <w:p>
      <w:pPr>
        <w:pStyle w:val="BodyText"/>
        <w:ind w:left="113" w:right="695"/>
      </w:pPr>
      <w:r>
        <w:rPr/>
        <w:t>The mission of ISO/TC 154 is both to undertake and to facilitate the development and maintenance of international standards for electronic business in the supply and value chain</w:t>
      </w:r>
      <w:r>
        <w:rPr>
          <w:color w:val="0000FF"/>
        </w:rPr>
        <w:t>.</w:t>
      </w:r>
    </w:p>
    <w:p>
      <w:pPr>
        <w:pStyle w:val="BodyText"/>
        <w:spacing w:before="11"/>
        <w:rPr>
          <w:sz w:val="21"/>
        </w:rPr>
      </w:pPr>
    </w:p>
    <w:p>
      <w:pPr>
        <w:pStyle w:val="BodyText"/>
        <w:ind w:left="113"/>
      </w:pPr>
      <w:r>
        <w:rPr/>
        <w:t>These standards cover data exchange regardless of the media used.</w:t>
      </w:r>
    </w:p>
    <w:p>
      <w:pPr>
        <w:pStyle w:val="BodyText"/>
      </w:pPr>
    </w:p>
    <w:p>
      <w:pPr>
        <w:pStyle w:val="BodyText"/>
        <w:ind w:left="113" w:right="195"/>
      </w:pPr>
      <w:r>
        <w:rPr/>
        <w:t>Wherever possible, ISO/TC 154 fosters harmonisation between and within international standards development organizations, particularly through the Memorandum of Understanding between the International Electrotechnical Commission, the International Organization for Standardization, the International Telecommunication Union and the United Nations Economic Commission for Europe concerning standardization in the field of electronic business.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9"/>
        </w:rPr>
      </w:pPr>
    </w:p>
    <w:p>
      <w:pPr>
        <w:spacing w:before="96"/>
        <w:ind w:left="113" w:right="0" w:firstLine="0"/>
        <w:jc w:val="left"/>
        <w:rPr>
          <w:sz w:val="16"/>
        </w:rPr>
      </w:pPr>
      <w:r>
        <w:rPr>
          <w:sz w:val="16"/>
        </w:rPr>
        <w:t>&lt;21379832_1.doc&gt; based on &lt;rw/C:\temp\BP\TC Business Plan template.doc&gt;</w:t>
      </w:r>
    </w:p>
    <w:p>
      <w:pPr>
        <w:spacing w:after="0"/>
        <w:jc w:val="left"/>
        <w:rPr>
          <w:sz w:val="16"/>
        </w:rPr>
        <w:sectPr>
          <w:type w:val="continuous"/>
          <w:pgSz w:w="11910" w:h="16850"/>
          <w:pgMar w:top="1140" w:bottom="280" w:left="1060" w:right="1020"/>
        </w:sectPr>
      </w:pPr>
    </w:p>
    <w:p>
      <w:pPr>
        <w:pStyle w:val="BodyText"/>
        <w:rPr>
          <w:sz w:val="20"/>
        </w:rPr>
      </w:pPr>
    </w:p>
    <w:p>
      <w:pPr>
        <w:pStyle w:val="Heading1"/>
        <w:numPr>
          <w:ilvl w:val="0"/>
          <w:numId w:val="1"/>
        </w:numPr>
        <w:tabs>
          <w:tab w:pos="821" w:val="left" w:leader="none"/>
          <w:tab w:pos="823" w:val="left" w:leader="none"/>
        </w:tabs>
        <w:spacing w:line="240" w:lineRule="auto" w:before="230" w:after="0"/>
        <w:ind w:left="822" w:right="0" w:hanging="710"/>
        <w:jc w:val="left"/>
      </w:pPr>
      <w:r>
        <w:rPr/>
        <w:t>INTRODUCTION</w:t>
      </w:r>
    </w:p>
    <w:p>
      <w:pPr>
        <w:pStyle w:val="BodyText"/>
        <w:spacing w:before="7"/>
        <w:rPr>
          <w:b/>
          <w:sz w:val="20"/>
        </w:rPr>
      </w:pPr>
    </w:p>
    <w:p>
      <w:pPr>
        <w:pStyle w:val="Heading2"/>
        <w:numPr>
          <w:ilvl w:val="1"/>
          <w:numId w:val="1"/>
        </w:numPr>
        <w:tabs>
          <w:tab w:pos="680" w:val="left" w:leader="none"/>
          <w:tab w:pos="681" w:val="left" w:leader="none"/>
        </w:tabs>
        <w:spacing w:line="240" w:lineRule="auto" w:before="0" w:after="0"/>
        <w:ind w:left="680" w:right="0" w:hanging="568"/>
        <w:jc w:val="left"/>
      </w:pPr>
      <w:r>
        <w:rPr/>
        <w:t>ISO technical committees and business</w:t>
      </w:r>
      <w:r>
        <w:rPr>
          <w:spacing w:val="-3"/>
        </w:rPr>
        <w:t> </w:t>
      </w:r>
      <w:r>
        <w:rPr/>
        <w:t>planning</w:t>
      </w:r>
    </w:p>
    <w:p>
      <w:pPr>
        <w:pStyle w:val="BodyText"/>
        <w:spacing w:before="3"/>
        <w:rPr>
          <w:b/>
        </w:rPr>
      </w:pPr>
    </w:p>
    <w:p>
      <w:pPr>
        <w:pStyle w:val="BodyText"/>
        <w:ind w:left="113" w:right="98"/>
      </w:pPr>
      <w:r>
        <w:rPr/>
        <w:t>The extension of formal business planning to ISO Technical Committees (ISO/TCs) is an important measure, which forms part of a major review of business. The aim is to align the ISO work programme with expressed business environment needs and trends and to allow ISO/TCs to prioritize among different projects, to identify the benefits expected from the availability of International Standards, and to ensure adequate resources for projects throughout their development.</w:t>
      </w:r>
    </w:p>
    <w:p>
      <w:pPr>
        <w:pStyle w:val="BodyText"/>
        <w:spacing w:before="7"/>
        <w:rPr>
          <w:sz w:val="21"/>
        </w:rPr>
      </w:pPr>
    </w:p>
    <w:p>
      <w:pPr>
        <w:pStyle w:val="Heading2"/>
        <w:numPr>
          <w:ilvl w:val="1"/>
          <w:numId w:val="1"/>
        </w:numPr>
        <w:tabs>
          <w:tab w:pos="680" w:val="left" w:leader="none"/>
          <w:tab w:pos="681" w:val="left" w:leader="none"/>
        </w:tabs>
        <w:spacing w:line="240" w:lineRule="auto" w:before="0" w:after="0"/>
        <w:ind w:left="680" w:right="0" w:hanging="568"/>
        <w:jc w:val="left"/>
      </w:pPr>
      <w:r>
        <w:rPr/>
        <w:t>International standardization and the role of</w:t>
      </w:r>
      <w:r>
        <w:rPr>
          <w:spacing w:val="-9"/>
        </w:rPr>
        <w:t> </w:t>
      </w:r>
      <w:r>
        <w:rPr/>
        <w:t>ISO</w:t>
      </w:r>
    </w:p>
    <w:p>
      <w:pPr>
        <w:pStyle w:val="BodyText"/>
        <w:spacing w:before="3"/>
        <w:rPr>
          <w:b/>
        </w:rPr>
      </w:pPr>
    </w:p>
    <w:p>
      <w:pPr>
        <w:pStyle w:val="BodyText"/>
        <w:spacing w:line="242" w:lineRule="auto"/>
        <w:ind w:left="113" w:right="157"/>
      </w:pPr>
      <w:r>
        <w:rPr/>
        <w:t>The foremost aim of international standardization is to facilitate the exchange of goods and services through the elimination of technical barriers to trade.</w:t>
      </w:r>
    </w:p>
    <w:p>
      <w:pPr>
        <w:pStyle w:val="BodyText"/>
        <w:spacing w:before="9"/>
        <w:rPr>
          <w:sz w:val="21"/>
        </w:rPr>
      </w:pPr>
    </w:p>
    <w:p>
      <w:pPr>
        <w:pStyle w:val="BodyText"/>
        <w:ind w:left="113" w:right="782"/>
      </w:pPr>
      <w:r>
        <w:rPr/>
        <w:t>Three bodies are responsible for the planning, development and adoption of International Standards: ISO (International Organization for Standardization) is responsible for all sectors excluding Electrotechnical, which is the responsibility of IEC (International Electrotechnical Committee), and most of the Telecommunications Technologies, which are largely the responsibility of ITU (International Telecommunication Union).</w:t>
      </w:r>
    </w:p>
    <w:p>
      <w:pPr>
        <w:pStyle w:val="BodyText"/>
        <w:spacing w:before="10"/>
        <w:rPr>
          <w:sz w:val="20"/>
        </w:rPr>
      </w:pPr>
    </w:p>
    <w:p>
      <w:pPr>
        <w:pStyle w:val="BodyText"/>
        <w:ind w:left="113" w:right="110"/>
        <w:jc w:val="both"/>
      </w:pPr>
      <w:r>
        <w:rPr/>
        <w:t>ISO is a legal association, the members of which are the National Standards Bodies (NSBs) of some 161 countries (organizations representing social and economic interests at the international level), supported by a Central Secretariat based in Geneva, Switzerland.</w:t>
      </w:r>
    </w:p>
    <w:p>
      <w:pPr>
        <w:pStyle w:val="BodyText"/>
        <w:spacing w:before="10"/>
        <w:rPr>
          <w:sz w:val="21"/>
        </w:rPr>
      </w:pPr>
    </w:p>
    <w:p>
      <w:pPr>
        <w:pStyle w:val="BodyText"/>
        <w:ind w:left="113"/>
        <w:jc w:val="both"/>
      </w:pPr>
      <w:r>
        <w:rPr/>
        <w:t>The principal deliverable of ISO is the International Standard.</w:t>
      </w:r>
    </w:p>
    <w:p>
      <w:pPr>
        <w:pStyle w:val="BodyText"/>
        <w:spacing w:before="1"/>
      </w:pPr>
    </w:p>
    <w:p>
      <w:pPr>
        <w:pStyle w:val="BodyText"/>
        <w:ind w:left="113" w:right="107"/>
        <w:jc w:val="both"/>
      </w:pPr>
      <w:r>
        <w:rPr/>
        <w:t>An International Standard embodies the essential principles of global openness and transparency, consensus and technical coherence. These are safeguarded through its development in an ISO Technical Committee (ISO/TC), representative of all interested parties, supported by a public comment phase (the ISO Technical Enquiry). ISO and its Technical Committees are also able to offer the ISO Technical Specification (ISO/TS), the ISO Public Available Specification (ISO/PAS) and the ISO Technical Report (ISO/TR) as solutions to market needs. These ISO products represent lower levels of consensus and have therefore not the same status as an International Standard.</w:t>
      </w:r>
    </w:p>
    <w:p>
      <w:pPr>
        <w:pStyle w:val="BodyText"/>
      </w:pPr>
    </w:p>
    <w:p>
      <w:pPr>
        <w:pStyle w:val="BodyText"/>
        <w:spacing w:before="1"/>
        <w:ind w:left="113" w:right="130"/>
      </w:pPr>
      <w:r>
        <w:rPr/>
        <w:t>ISO offers also the International Workshop Agreement (IWA) as a deliverable, which aims to bridge the gap between the activities of consortia and the formal process of standardization represented by ISO and its national members. An important distinction is that the IWA is developed by ISO workshops and fora, comprising only participants with direct interest, and so it is not accorded the status of an International</w:t>
      </w:r>
      <w:r>
        <w:rPr>
          <w:spacing w:val="-6"/>
        </w:rPr>
        <w:t> </w:t>
      </w:r>
      <w:r>
        <w:rPr/>
        <w:t>Standard.</w:t>
      </w:r>
    </w:p>
    <w:p>
      <w:pPr>
        <w:pStyle w:val="BodyText"/>
        <w:spacing w:before="11"/>
        <w:rPr>
          <w:sz w:val="21"/>
        </w:rPr>
      </w:pPr>
    </w:p>
    <w:p>
      <w:pPr>
        <w:pStyle w:val="Heading1"/>
        <w:numPr>
          <w:ilvl w:val="0"/>
          <w:numId w:val="1"/>
        </w:numPr>
        <w:tabs>
          <w:tab w:pos="821" w:val="left" w:leader="none"/>
          <w:tab w:pos="823" w:val="left" w:leader="none"/>
        </w:tabs>
        <w:spacing w:line="240" w:lineRule="auto" w:before="0" w:after="0"/>
        <w:ind w:left="822" w:right="0" w:hanging="710"/>
        <w:jc w:val="left"/>
      </w:pPr>
      <w:r>
        <w:rPr/>
        <w:t>BUSINESS ENVIRONMENT OF THE</w:t>
      </w:r>
      <w:r>
        <w:rPr>
          <w:spacing w:val="-1"/>
        </w:rPr>
        <w:t> </w:t>
      </w:r>
      <w:r>
        <w:rPr/>
        <w:t>ISO/TC</w:t>
      </w:r>
    </w:p>
    <w:p>
      <w:pPr>
        <w:pStyle w:val="BodyText"/>
        <w:spacing w:before="10"/>
        <w:rPr>
          <w:b/>
          <w:sz w:val="21"/>
        </w:rPr>
      </w:pPr>
    </w:p>
    <w:p>
      <w:pPr>
        <w:pStyle w:val="Heading2"/>
        <w:numPr>
          <w:ilvl w:val="1"/>
          <w:numId w:val="1"/>
        </w:numPr>
        <w:tabs>
          <w:tab w:pos="680" w:val="left" w:leader="none"/>
          <w:tab w:pos="681" w:val="left" w:leader="none"/>
        </w:tabs>
        <w:spacing w:line="240" w:lineRule="auto" w:before="0" w:after="0"/>
        <w:ind w:left="680" w:right="0" w:hanging="568"/>
        <w:jc w:val="left"/>
      </w:pPr>
      <w:r>
        <w:rPr/>
        <w:t>Description of the Business</w:t>
      </w:r>
      <w:r>
        <w:rPr>
          <w:spacing w:val="-2"/>
        </w:rPr>
        <w:t> </w:t>
      </w:r>
      <w:r>
        <w:rPr/>
        <w:t>Environment</w:t>
      </w:r>
    </w:p>
    <w:p>
      <w:pPr>
        <w:pStyle w:val="BodyText"/>
        <w:spacing w:before="3"/>
        <w:rPr>
          <w:b/>
        </w:rPr>
      </w:pPr>
    </w:p>
    <w:p>
      <w:pPr>
        <w:pStyle w:val="BodyText"/>
        <w:ind w:left="113" w:right="159"/>
      </w:pPr>
      <w:r>
        <w:rPr/>
        <w:t>The following political, economic, technical, regulatory, legal and social dynamics describe the business environment of the industry sector, products, materials, disciplines or practices related to the scope of this ISO/TC, and they may significantly influence how the relevant standards development processes are conducted and the content of the resulting standards:</w:t>
      </w:r>
    </w:p>
    <w:p>
      <w:pPr>
        <w:pStyle w:val="BodyText"/>
      </w:pPr>
    </w:p>
    <w:p>
      <w:pPr>
        <w:pStyle w:val="BodyText"/>
        <w:ind w:left="113" w:right="648"/>
        <w:rPr>
          <w:i/>
        </w:rPr>
      </w:pPr>
      <w:r>
        <w:rPr/>
        <w:t>International standards in the documentary, processes and information aspects are explicitly recognized by the WTO/TBT (Technical Barriers to Trade) Agreement 1994 “</w:t>
      </w:r>
      <w:r>
        <w:rPr>
          <w:i/>
        </w:rPr>
        <w:t>Where technical</w:t>
      </w:r>
    </w:p>
    <w:p>
      <w:pPr>
        <w:spacing w:after="0"/>
        <w:sectPr>
          <w:headerReference w:type="default" r:id="rId11"/>
          <w:pgSz w:w="11910" w:h="16850"/>
          <w:pgMar w:header="976" w:footer="0" w:top="1220" w:bottom="280" w:left="1060" w:right="1020"/>
        </w:sectPr>
      </w:pPr>
    </w:p>
    <w:p>
      <w:pPr>
        <w:pStyle w:val="BodyText"/>
        <w:spacing w:before="8"/>
        <w:rPr>
          <w:i/>
          <w:sz w:val="9"/>
        </w:rPr>
      </w:pPr>
    </w:p>
    <w:p>
      <w:pPr>
        <w:spacing w:before="93"/>
        <w:ind w:left="113" w:right="170" w:firstLine="0"/>
        <w:jc w:val="left"/>
        <w:rPr>
          <w:sz w:val="22"/>
        </w:rPr>
      </w:pPr>
      <w:r>
        <w:rPr>
          <w:i/>
          <w:sz w:val="22"/>
        </w:rPr>
        <w:t>regulations are required and relevant International Standards exist …, Members </w:t>
      </w:r>
      <w:r>
        <w:rPr>
          <w:i/>
          <w:sz w:val="22"/>
          <w:u w:val="single"/>
        </w:rPr>
        <w:t>shall</w:t>
      </w:r>
      <w:r>
        <w:rPr>
          <w:i/>
          <w:sz w:val="22"/>
        </w:rPr>
        <w:t> use them … </w:t>
      </w:r>
      <w:r>
        <w:rPr>
          <w:i/>
          <w:sz w:val="22"/>
        </w:rPr>
        <w:t>as a basis for technical regulations</w:t>
      </w:r>
      <w:r>
        <w:rPr>
          <w:sz w:val="22"/>
        </w:rPr>
        <w:t>”.</w:t>
      </w:r>
    </w:p>
    <w:p>
      <w:pPr>
        <w:pStyle w:val="BodyText"/>
        <w:spacing w:before="3"/>
      </w:pPr>
    </w:p>
    <w:p>
      <w:pPr>
        <w:spacing w:before="0"/>
        <w:ind w:left="113" w:right="170" w:firstLine="0"/>
        <w:jc w:val="left"/>
        <w:rPr>
          <w:i/>
          <w:sz w:val="22"/>
        </w:rPr>
      </w:pPr>
      <w:r>
        <w:rPr>
          <w:i/>
          <w:sz w:val="22"/>
        </w:rPr>
        <w:t>Use of international standards, uniform documentation requirements, exchange of information and </w:t>
      </w:r>
      <w:r>
        <w:rPr>
          <w:i/>
          <w:sz w:val="22"/>
        </w:rPr>
        <w:t>so on, are explicitly recognized by the “protocol amending the Marrakesh agreement establishing the WTO 2014”, Members are encouraged to use relevant international standards or parts thereof as a basis.</w:t>
      </w:r>
    </w:p>
    <w:p>
      <w:pPr>
        <w:pStyle w:val="BodyText"/>
        <w:spacing w:before="11"/>
        <w:rPr>
          <w:i/>
          <w:sz w:val="21"/>
        </w:rPr>
      </w:pPr>
    </w:p>
    <w:p>
      <w:pPr>
        <w:pStyle w:val="BodyText"/>
        <w:ind w:left="113" w:right="989"/>
      </w:pPr>
      <w:r>
        <w:rPr/>
        <w:t>Important changes have taken place in the way trade, transport and administrative data is produced, dispatched and processed.</w:t>
      </w:r>
    </w:p>
    <w:p>
      <w:pPr>
        <w:pStyle w:val="BodyText"/>
        <w:spacing w:before="11"/>
        <w:rPr>
          <w:sz w:val="21"/>
        </w:rPr>
      </w:pPr>
    </w:p>
    <w:p>
      <w:pPr>
        <w:pStyle w:val="BodyText"/>
        <w:ind w:left="113" w:right="206"/>
      </w:pPr>
      <w:r>
        <w:rPr/>
        <w:t>Currently there is a multitude of sectorial, governmental, intergovernmental and standards development organizations involved in the creation of standards aimed at the open interchange of data in the value chain</w:t>
      </w:r>
      <w:r>
        <w:rPr>
          <w:position w:val="6"/>
          <w:sz w:val="16"/>
        </w:rPr>
        <w:t>1</w:t>
      </w:r>
      <w:r>
        <w:rPr/>
        <w:t>.</w:t>
      </w:r>
    </w:p>
    <w:p>
      <w:pPr>
        <w:pStyle w:val="BodyText"/>
      </w:pPr>
    </w:p>
    <w:p>
      <w:pPr>
        <w:pStyle w:val="BodyText"/>
        <w:ind w:left="113" w:right="121"/>
      </w:pPr>
      <w:r>
        <w:rPr/>
        <w:t>The rapid development of online trade also requires globally recognized international standards for electric data exchange among e-commerce enterprises, service providers, logistics providers, relevant government and inter-government departments.</w:t>
      </w:r>
    </w:p>
    <w:p>
      <w:pPr>
        <w:pStyle w:val="BodyText"/>
        <w:rPr>
          <w:sz w:val="24"/>
        </w:rPr>
      </w:pPr>
    </w:p>
    <w:p>
      <w:pPr>
        <w:pStyle w:val="BodyText"/>
        <w:spacing w:before="9"/>
        <w:rPr>
          <w:sz w:val="19"/>
        </w:rPr>
      </w:pPr>
    </w:p>
    <w:p>
      <w:pPr>
        <w:pStyle w:val="Heading2"/>
        <w:numPr>
          <w:ilvl w:val="1"/>
          <w:numId w:val="1"/>
        </w:numPr>
        <w:tabs>
          <w:tab w:pos="680" w:val="left" w:leader="none"/>
          <w:tab w:pos="681" w:val="left" w:leader="none"/>
        </w:tabs>
        <w:spacing w:line="240" w:lineRule="auto" w:before="0" w:after="0"/>
        <w:ind w:left="680" w:right="0" w:hanging="568"/>
        <w:jc w:val="left"/>
      </w:pPr>
      <w:r>
        <w:rPr/>
        <w:t>Quantitative Indicators of the Business</w:t>
      </w:r>
      <w:r>
        <w:rPr>
          <w:spacing w:val="-7"/>
        </w:rPr>
        <w:t> </w:t>
      </w:r>
      <w:r>
        <w:rPr/>
        <w:t>Environment</w:t>
      </w:r>
    </w:p>
    <w:p>
      <w:pPr>
        <w:pStyle w:val="BodyText"/>
        <w:spacing w:before="3"/>
        <w:rPr>
          <w:b/>
        </w:rPr>
      </w:pPr>
    </w:p>
    <w:p>
      <w:pPr>
        <w:pStyle w:val="BodyText"/>
        <w:ind w:left="113" w:right="231"/>
      </w:pPr>
      <w:r>
        <w:rPr/>
        <w:t>The following list of quantitative indicators describes the business environment in order to provide adequate information to support actions of the ISO/TC:</w:t>
      </w:r>
    </w:p>
    <w:p>
      <w:pPr>
        <w:pStyle w:val="BodyText"/>
        <w:spacing w:before="11"/>
        <w:rPr>
          <w:sz w:val="21"/>
        </w:rPr>
      </w:pPr>
    </w:p>
    <w:p>
      <w:pPr>
        <w:pStyle w:val="BodyText"/>
        <w:ind w:left="113"/>
      </w:pPr>
      <w:r>
        <w:rPr/>
        <w:t>It is widely recognized that billions of dollars can be saved by electronic data</w:t>
      </w:r>
      <w:r>
        <w:rPr>
          <w:spacing w:val="-29"/>
        </w:rPr>
        <w:t> </w:t>
      </w:r>
      <w:r>
        <w:rPr/>
        <w:t>interchange.</w:t>
      </w:r>
    </w:p>
    <w:p>
      <w:pPr>
        <w:pStyle w:val="BodyText"/>
      </w:pPr>
    </w:p>
    <w:p>
      <w:pPr>
        <w:pStyle w:val="BodyText"/>
        <w:spacing w:before="1"/>
        <w:ind w:left="113" w:right="194"/>
      </w:pPr>
      <w:r>
        <w:rPr/>
        <w:t>The Doing Business project provides objective measures of business regulations and their enforcement across 190 economies and selected cities at the subnational and regional level. With regard to trading across borders there is a table that shows main indicators. They</w:t>
      </w:r>
      <w:r>
        <w:rPr>
          <w:spacing w:val="-17"/>
        </w:rPr>
        <w:t> </w:t>
      </w:r>
      <w:r>
        <w:rPr/>
        <w:t>include:</w:t>
      </w:r>
    </w:p>
    <w:p>
      <w:pPr>
        <w:pStyle w:val="ListParagraph"/>
        <w:numPr>
          <w:ilvl w:val="0"/>
          <w:numId w:val="2"/>
        </w:numPr>
        <w:tabs>
          <w:tab w:pos="473" w:val="left" w:leader="none"/>
          <w:tab w:pos="475" w:val="left" w:leader="none"/>
        </w:tabs>
        <w:spacing w:line="240" w:lineRule="auto" w:before="119" w:after="0"/>
        <w:ind w:left="474" w:right="0" w:hanging="362"/>
        <w:jc w:val="left"/>
        <w:rPr>
          <w:sz w:val="22"/>
        </w:rPr>
      </w:pPr>
      <w:r>
        <w:rPr>
          <w:sz w:val="22"/>
        </w:rPr>
        <w:t>number of all documents required to export/import</w:t>
      </w:r>
      <w:r>
        <w:rPr>
          <w:spacing w:val="-8"/>
          <w:sz w:val="22"/>
        </w:rPr>
        <w:t> </w:t>
      </w:r>
      <w:r>
        <w:rPr>
          <w:sz w:val="22"/>
        </w:rPr>
        <w:t>goods,</w:t>
      </w:r>
    </w:p>
    <w:p>
      <w:pPr>
        <w:pStyle w:val="ListParagraph"/>
        <w:numPr>
          <w:ilvl w:val="0"/>
          <w:numId w:val="2"/>
        </w:numPr>
        <w:tabs>
          <w:tab w:pos="473" w:val="left" w:leader="none"/>
          <w:tab w:pos="475" w:val="left" w:leader="none"/>
        </w:tabs>
        <w:spacing w:line="240" w:lineRule="auto" w:before="122" w:after="0"/>
        <w:ind w:left="474" w:right="0" w:hanging="362"/>
        <w:jc w:val="left"/>
        <w:rPr>
          <w:sz w:val="22"/>
        </w:rPr>
      </w:pPr>
      <w:r>
        <w:rPr>
          <w:sz w:val="22"/>
        </w:rPr>
        <w:t>time necessary to comply with all procedures required to export/import goods,</w:t>
      </w:r>
      <w:r>
        <w:rPr>
          <w:spacing w:val="-13"/>
          <w:sz w:val="22"/>
        </w:rPr>
        <w:t> </w:t>
      </w:r>
      <w:r>
        <w:rPr>
          <w:sz w:val="22"/>
        </w:rPr>
        <w:t>and</w:t>
      </w:r>
    </w:p>
    <w:p>
      <w:pPr>
        <w:pStyle w:val="ListParagraph"/>
        <w:numPr>
          <w:ilvl w:val="0"/>
          <w:numId w:val="2"/>
        </w:numPr>
        <w:tabs>
          <w:tab w:pos="473" w:val="left" w:leader="none"/>
          <w:tab w:pos="475" w:val="left" w:leader="none"/>
        </w:tabs>
        <w:spacing w:line="240" w:lineRule="auto" w:before="119" w:after="0"/>
        <w:ind w:left="474" w:right="0" w:hanging="362"/>
        <w:jc w:val="left"/>
        <w:rPr>
          <w:sz w:val="22"/>
        </w:rPr>
      </w:pPr>
      <w:r>
        <w:rPr>
          <w:sz w:val="22"/>
        </w:rPr>
        <w:t>cost associated with all the procedures required to export/import</w:t>
      </w:r>
      <w:r>
        <w:rPr>
          <w:spacing w:val="-9"/>
          <w:sz w:val="22"/>
        </w:rPr>
        <w:t> </w:t>
      </w:r>
      <w:r>
        <w:rPr>
          <w:sz w:val="22"/>
        </w:rPr>
        <w:t>goods</w:t>
      </w:r>
    </w:p>
    <w:p>
      <w:pPr>
        <w:pStyle w:val="BodyText"/>
        <w:spacing w:before="121"/>
        <w:ind w:left="113" w:right="3057"/>
      </w:pPr>
      <w:r>
        <w:rPr/>
        <w:t>Current figures can be found on: </w:t>
      </w:r>
      <w:hyperlink r:id="rId13">
        <w:r>
          <w:rPr>
            <w:u w:val="single"/>
          </w:rPr>
          <w:t>http://www.doingbusiness.org/ExploreTopics/TradingAcrossBorders/</w:t>
        </w:r>
      </w:hyperlink>
    </w:p>
    <w:p>
      <w:pPr>
        <w:pStyle w:val="BodyText"/>
        <w:spacing w:before="9"/>
        <w:rPr>
          <w:sz w:val="13"/>
        </w:rPr>
      </w:pPr>
    </w:p>
    <w:p>
      <w:pPr>
        <w:pStyle w:val="BodyText"/>
        <w:spacing w:before="94"/>
        <w:ind w:left="113" w:right="133"/>
      </w:pPr>
      <w:r>
        <w:rPr/>
        <w:pict>
          <v:rect style="position:absolute;margin-left:218.330002pt;margin-top:12.137877pt;width:3.12pt;height:.599980pt;mso-position-horizontal-relative:page;mso-position-vertical-relative:paragraph;z-index:-252064768" filled="true" fillcolor="#000000" stroked="false">
            <v:fill type="solid"/>
            <w10:wrap type="none"/>
          </v:rect>
        </w:pict>
      </w:r>
      <w:r>
        <w:rPr/>
        <w:t>In the field of electronic business, from the “Doing Business” project’s “Trading Across Borders (2017)” report, by implementing standardized electric data interchange techniques and submission of electronical data for export and import border compliance can improve efficiency significantly.</w:t>
      </w:r>
    </w:p>
    <w:p>
      <w:pPr>
        <w:pStyle w:val="BodyText"/>
        <w:tabs>
          <w:tab w:pos="593" w:val="left" w:leader="none"/>
        </w:tabs>
        <w:ind w:left="594" w:right="1171" w:hanging="481"/>
      </w:pPr>
      <w:r>
        <w:rPr>
          <w:rFonts w:ascii="Times New Roman" w:hAnsi="Times New Roman"/>
        </w:rPr>
        <w:t>-</w:t>
        <w:tab/>
      </w:r>
      <w:r>
        <w:rPr/>
        <w:t>In Philippines, customs custody time was reduced to 4–6 hours for “green channel” shipments (from 6–8 days</w:t>
      </w:r>
      <w:r>
        <w:rPr>
          <w:spacing w:val="-3"/>
        </w:rPr>
        <w:t> </w:t>
      </w:r>
      <w:r>
        <w:rPr/>
        <w:t>previously).</w:t>
      </w:r>
    </w:p>
    <w:p>
      <w:pPr>
        <w:pStyle w:val="BodyText"/>
        <w:spacing w:before="11"/>
        <w:rPr>
          <w:sz w:val="21"/>
        </w:rPr>
      </w:pPr>
    </w:p>
    <w:p>
      <w:pPr>
        <w:pStyle w:val="Heading1"/>
        <w:numPr>
          <w:ilvl w:val="0"/>
          <w:numId w:val="1"/>
        </w:numPr>
        <w:tabs>
          <w:tab w:pos="821" w:val="left" w:leader="none"/>
          <w:tab w:pos="823" w:val="left" w:leader="none"/>
        </w:tabs>
        <w:spacing w:line="240" w:lineRule="auto" w:before="0" w:after="0"/>
        <w:ind w:left="822" w:right="0" w:hanging="710"/>
        <w:jc w:val="left"/>
      </w:pPr>
      <w:r>
        <w:rPr/>
        <w:t>BENEFITS EXPECTED FROM THE WORK OF THE</w:t>
      </w:r>
      <w:r>
        <w:rPr>
          <w:spacing w:val="-4"/>
        </w:rPr>
        <w:t> </w:t>
      </w:r>
      <w:r>
        <w:rPr/>
        <w:t>ISO/TC</w:t>
      </w:r>
    </w:p>
    <w:p>
      <w:pPr>
        <w:pStyle w:val="BodyText"/>
        <w:spacing w:before="1"/>
        <w:rPr>
          <w:b/>
        </w:rPr>
      </w:pPr>
    </w:p>
    <w:p>
      <w:pPr>
        <w:pStyle w:val="BodyText"/>
        <w:ind w:left="113" w:right="292"/>
      </w:pPr>
      <w:r>
        <w:rPr/>
        <w:t>The introduction of standards for data exchange in international trade significantly reduces transaction costs and time. It facilitates enhanced security and transparency to combat fraud and other illegal activities, and reduce paperwork. In addition, data exchange systems provide an important migration path for MSMEs (Micro, Small and Medium Enterprises), developing and transition countries into the global economy.</w:t>
      </w:r>
    </w:p>
    <w:p>
      <w:pPr>
        <w:pStyle w:val="BodyText"/>
        <w:rPr>
          <w:sz w:val="20"/>
        </w:rPr>
      </w:pPr>
    </w:p>
    <w:p>
      <w:pPr>
        <w:pStyle w:val="BodyText"/>
        <w:spacing w:before="11"/>
        <w:rPr>
          <w:sz w:val="20"/>
        </w:rPr>
      </w:pPr>
      <w:r>
        <w:rPr/>
        <w:pict>
          <v:shape style="position:absolute;margin-left:58.68pt;margin-top:14.470575pt;width:58.15pt;height:.1pt;mso-position-horizontal-relative:page;mso-position-vertical-relative:paragraph;z-index:-251656192;mso-wrap-distance-left:0;mso-wrap-distance-right:0" coordorigin="1174,289" coordsize="1163,0" path="m1174,289l2336,289e" filled="false" stroked="true" strokeweight=".83997pt" strokecolor="#000000">
            <v:path arrowok="t"/>
            <v:stroke dashstyle="solid"/>
            <w10:wrap type="topAndBottom"/>
          </v:shape>
        </w:pict>
      </w:r>
    </w:p>
    <w:p>
      <w:pPr>
        <w:spacing w:line="231" w:lineRule="exact" w:before="0"/>
        <w:ind w:left="113" w:right="0" w:firstLine="0"/>
        <w:jc w:val="left"/>
        <w:rPr>
          <w:sz w:val="20"/>
        </w:rPr>
      </w:pPr>
      <w:r>
        <w:rPr>
          <w:position w:val="6"/>
          <w:sz w:val="16"/>
        </w:rPr>
        <w:t>1 </w:t>
      </w:r>
      <w:r>
        <w:rPr>
          <w:sz w:val="20"/>
        </w:rPr>
        <w:t>Value chain: industry, trade, transport, financial and regulatory information, including trade in goods and</w:t>
      </w:r>
    </w:p>
    <w:p>
      <w:pPr>
        <w:spacing w:before="10"/>
        <w:ind w:left="397" w:right="0" w:firstLine="0"/>
        <w:jc w:val="left"/>
        <w:rPr>
          <w:sz w:val="20"/>
        </w:rPr>
      </w:pPr>
      <w:r>
        <w:rPr>
          <w:sz w:val="20"/>
        </w:rPr>
        <w:t>services</w:t>
      </w:r>
    </w:p>
    <w:p>
      <w:pPr>
        <w:spacing w:after="0"/>
        <w:jc w:val="left"/>
        <w:rPr>
          <w:sz w:val="20"/>
        </w:rPr>
        <w:sectPr>
          <w:headerReference w:type="default" r:id="rId12"/>
          <w:pgSz w:w="11910" w:h="16850"/>
          <w:pgMar w:header="976" w:footer="0" w:top="1220" w:bottom="280" w:left="1060" w:right="1020"/>
        </w:sectPr>
      </w:pPr>
    </w:p>
    <w:p>
      <w:pPr>
        <w:pStyle w:val="BodyText"/>
        <w:rPr>
          <w:sz w:val="20"/>
        </w:rPr>
      </w:pPr>
    </w:p>
    <w:p>
      <w:pPr>
        <w:pStyle w:val="BodyText"/>
        <w:rPr>
          <w:sz w:val="20"/>
        </w:rPr>
      </w:pPr>
    </w:p>
    <w:p>
      <w:pPr>
        <w:pStyle w:val="BodyText"/>
        <w:ind w:left="113" w:right="269"/>
      </w:pPr>
      <w:r>
        <w:rPr/>
        <w:t>From the “Trading Across Borders (2017)” report: employing standardized digital platforms, such as port community systems, to ensure the smooth and reliable transfer of information between all members of the seaport network can improve trade efficiency and reduce shipping cost significantly. Improving port efficiency from the 25th to the 75th percentile reduces shipping costs by around 12%.</w:t>
      </w:r>
    </w:p>
    <w:p>
      <w:pPr>
        <w:pStyle w:val="BodyText"/>
        <w:spacing w:before="4"/>
        <w:rPr>
          <w:sz w:val="32"/>
        </w:rPr>
      </w:pPr>
    </w:p>
    <w:p>
      <w:pPr>
        <w:pStyle w:val="BodyText"/>
        <w:ind w:left="113" w:right="782"/>
      </w:pPr>
      <w:r>
        <w:rPr/>
        <w:t>The expected benefits of the use of the standards published by ISO/TC 154 are improved administrative and business functions, lower transaction costs, increased transparency, and integration of developing and transition economies into the international value chain.</w:t>
      </w:r>
    </w:p>
    <w:p>
      <w:pPr>
        <w:pStyle w:val="BodyText"/>
      </w:pPr>
    </w:p>
    <w:p>
      <w:pPr>
        <w:pStyle w:val="BodyText"/>
        <w:spacing w:before="1"/>
        <w:ind w:left="113" w:right="219"/>
      </w:pPr>
      <w:r>
        <w:rPr/>
        <w:t>In 2015, UN published the Sustainable Development Goals (15-year plan) to address some of the most pressing issues faced by the world. ISO recently updated the Form 04 template to support SDGs. The deliverables of ISO/TC 154 will support possible SDGs, such as SDG8 (Decent Work and Economic Growth), SDG 9 (Industry, Innovation and Infrastructure), SDG 11 (Sustainable Cities and Communities).</w:t>
      </w:r>
    </w:p>
    <w:p>
      <w:pPr>
        <w:spacing w:after="0"/>
        <w:sectPr>
          <w:headerReference w:type="default" r:id="rId14"/>
          <w:pgSz w:w="11910" w:h="16850"/>
          <w:pgMar w:header="976" w:footer="0" w:top="1220" w:bottom="280" w:left="1060" w:right="1020"/>
        </w:sectPr>
      </w:pPr>
    </w:p>
    <w:p>
      <w:pPr>
        <w:pStyle w:val="BodyText"/>
        <w:spacing w:before="10"/>
        <w:rPr>
          <w:sz w:val="9"/>
        </w:rPr>
      </w:pPr>
    </w:p>
    <w:p>
      <w:pPr>
        <w:pStyle w:val="Heading1"/>
        <w:numPr>
          <w:ilvl w:val="0"/>
          <w:numId w:val="3"/>
        </w:numPr>
        <w:tabs>
          <w:tab w:pos="821" w:val="left" w:leader="none"/>
          <w:tab w:pos="823" w:val="left" w:leader="none"/>
        </w:tabs>
        <w:spacing w:line="240" w:lineRule="auto" w:before="92" w:after="0"/>
        <w:ind w:left="822" w:right="0" w:hanging="710"/>
        <w:jc w:val="left"/>
      </w:pPr>
      <w:r>
        <w:rPr/>
        <w:t>REPRESENTATION AND PARTICIPATION IN THE</w:t>
      </w:r>
      <w:r>
        <w:rPr>
          <w:spacing w:val="-1"/>
        </w:rPr>
        <w:t> </w:t>
      </w:r>
      <w:r>
        <w:rPr/>
        <w:t>ISO/TC</w:t>
      </w:r>
    </w:p>
    <w:p>
      <w:pPr>
        <w:pStyle w:val="BodyText"/>
        <w:spacing w:before="10"/>
        <w:rPr>
          <w:b/>
          <w:sz w:val="21"/>
        </w:rPr>
      </w:pPr>
    </w:p>
    <w:p>
      <w:pPr>
        <w:pStyle w:val="ListParagraph"/>
        <w:numPr>
          <w:ilvl w:val="1"/>
          <w:numId w:val="3"/>
        </w:numPr>
        <w:tabs>
          <w:tab w:pos="680" w:val="left" w:leader="none"/>
          <w:tab w:pos="681" w:val="left" w:leader="none"/>
        </w:tabs>
        <w:spacing w:line="247" w:lineRule="auto" w:before="0" w:after="0"/>
        <w:ind w:left="113" w:right="940" w:firstLine="0"/>
        <w:jc w:val="left"/>
        <w:rPr>
          <w:sz w:val="20"/>
        </w:rPr>
      </w:pPr>
      <w:r>
        <w:rPr>
          <w:b/>
          <w:sz w:val="22"/>
        </w:rPr>
        <w:t>Countries/ISO member bodies that are P and O members of the ISO committee </w:t>
      </w:r>
      <w:r>
        <w:rPr>
          <w:sz w:val="22"/>
        </w:rPr>
        <w:t>The following countries are P-member of ISO/TC 154:</w:t>
      </w:r>
      <w:r>
        <w:rPr>
          <w:sz w:val="22"/>
          <w:u w:val="single"/>
        </w:rPr>
        <w:t> </w:t>
      </w:r>
      <w:r>
        <w:rPr>
          <w:sz w:val="20"/>
          <w:u w:val="single"/>
        </w:rPr>
        <w:t>https://</w:t>
      </w:r>
      <w:hyperlink r:id="rId16">
        <w:r>
          <w:rPr>
            <w:sz w:val="20"/>
            <w:u w:val="single"/>
          </w:rPr>
          <w:t>www.iso.org/committee/53186.html?view=participation</w:t>
        </w:r>
      </w:hyperlink>
    </w:p>
    <w:p>
      <w:pPr>
        <w:pStyle w:val="BodyText"/>
        <w:rPr>
          <w:sz w:val="13"/>
        </w:rPr>
      </w:pPr>
    </w:p>
    <w:p>
      <w:pPr>
        <w:pStyle w:val="BodyText"/>
        <w:spacing w:before="94"/>
        <w:ind w:left="113"/>
      </w:pPr>
      <w:r>
        <w:rPr/>
        <w:t>The following countries are O-member of ISO/TC 154:</w:t>
      </w:r>
    </w:p>
    <w:p>
      <w:pPr>
        <w:spacing w:before="10"/>
        <w:ind w:left="113" w:right="0" w:firstLine="0"/>
        <w:jc w:val="left"/>
        <w:rPr>
          <w:sz w:val="20"/>
        </w:rPr>
      </w:pPr>
      <w:hyperlink r:id="rId17">
        <w:r>
          <w:rPr>
            <w:sz w:val="20"/>
            <w:u w:val="single"/>
          </w:rPr>
          <w:t>https://www.iso.org/committee/53186.html?view=participation</w:t>
        </w:r>
      </w:hyperlink>
    </w:p>
    <w:p>
      <w:pPr>
        <w:pStyle w:val="BodyText"/>
        <w:spacing w:before="9"/>
        <w:rPr>
          <w:sz w:val="20"/>
        </w:rPr>
      </w:pPr>
    </w:p>
    <w:p>
      <w:pPr>
        <w:pStyle w:val="BodyText"/>
        <w:ind w:left="113"/>
      </w:pPr>
      <w:r>
        <w:rPr/>
        <w:t>The following organizations are Liaison-member of ISO/TC 154:</w:t>
      </w:r>
    </w:p>
    <w:p>
      <w:pPr>
        <w:spacing w:before="13"/>
        <w:ind w:left="113" w:right="0" w:firstLine="0"/>
        <w:jc w:val="left"/>
        <w:rPr>
          <w:sz w:val="20"/>
        </w:rPr>
      </w:pPr>
      <w:r>
        <w:rPr>
          <w:sz w:val="20"/>
          <w:u w:val="single"/>
        </w:rPr>
        <w:t>https://</w:t>
      </w:r>
      <w:hyperlink r:id="rId18">
        <w:r>
          <w:rPr>
            <w:sz w:val="20"/>
            <w:u w:val="single"/>
          </w:rPr>
          <w:t>www.iso.org/committee/53186.html</w:t>
        </w:r>
      </w:hyperlink>
    </w:p>
    <w:p>
      <w:pPr>
        <w:pStyle w:val="BodyText"/>
        <w:spacing w:before="5"/>
        <w:rPr>
          <w:sz w:val="13"/>
        </w:rPr>
      </w:pPr>
    </w:p>
    <w:p>
      <w:pPr>
        <w:pStyle w:val="Heading2"/>
        <w:numPr>
          <w:ilvl w:val="1"/>
          <w:numId w:val="3"/>
        </w:numPr>
        <w:tabs>
          <w:tab w:pos="821" w:val="left" w:leader="none"/>
          <w:tab w:pos="823" w:val="left" w:leader="none"/>
        </w:tabs>
        <w:spacing w:line="240" w:lineRule="auto" w:before="93" w:after="0"/>
        <w:ind w:left="822" w:right="0" w:hanging="710"/>
        <w:jc w:val="left"/>
      </w:pPr>
      <w:r>
        <w:rPr/>
        <w:t>Analysis of the</w:t>
      </w:r>
      <w:r>
        <w:rPr>
          <w:spacing w:val="-1"/>
        </w:rPr>
        <w:t> </w:t>
      </w:r>
      <w:r>
        <w:rPr/>
        <w:t>participation</w:t>
      </w:r>
    </w:p>
    <w:p>
      <w:pPr>
        <w:pStyle w:val="BodyText"/>
        <w:spacing w:before="3"/>
        <w:rPr>
          <w:b/>
        </w:rPr>
      </w:pPr>
    </w:p>
    <w:p>
      <w:pPr>
        <w:pStyle w:val="BodyText"/>
        <w:ind w:left="113" w:right="121"/>
      </w:pPr>
      <w:r>
        <w:rPr/>
        <w:t>Currently 17 P- and 24 O-members, and 20 internal (ISO and JTC1) and 18 external (e.g. UNECE, FIATA and WCO) Liaison-members from all areas of the world participate in ISO/TC 154. Many high-ranking international organizations are being kept informed of the work done by the committee through the extensive use of electronic means to disseminate the</w:t>
      </w:r>
      <w:r>
        <w:rPr>
          <w:spacing w:val="-14"/>
        </w:rPr>
        <w:t> </w:t>
      </w:r>
      <w:r>
        <w:rPr/>
        <w:t>information.</w:t>
      </w:r>
    </w:p>
    <w:p>
      <w:pPr>
        <w:pStyle w:val="BodyText"/>
      </w:pPr>
    </w:p>
    <w:p>
      <w:pPr>
        <w:pStyle w:val="BodyText"/>
        <w:spacing w:line="242" w:lineRule="auto" w:before="1"/>
        <w:ind w:left="113" w:right="165"/>
        <w:rPr>
          <w:sz w:val="20"/>
        </w:rPr>
      </w:pPr>
      <w:r>
        <w:rPr/>
        <w:t>The coordination/liaison review/management with other ISO/TCs, ISO/IEC/JTC1/SCs UNECE and other main international standardisation bodies are mainly relying on the activities of the e- business MoU (Memorandum of Understanding) between the International Electrotechnical Commission, the International Organization for Standardization, the International Telecommunication Union and the United Nations Economic Commission for Europe concerning standardization in the field of electronic business. </w:t>
      </w:r>
      <w:r>
        <w:rPr>
          <w:sz w:val="20"/>
        </w:rPr>
        <w:t>(</w:t>
      </w:r>
      <w:hyperlink r:id="rId19">
        <w:r>
          <w:rPr>
            <w:sz w:val="20"/>
            <w:u w:val="single"/>
          </w:rPr>
          <w:t>http://isotc.iso.org/livelink/livelink/fetch/2000/2489/Ittf_Home/MoU-MG/MoumgDocs.html??Redirect=1</w:t>
        </w:r>
      </w:hyperlink>
      <w:r>
        <w:rPr>
          <w:sz w:val="20"/>
        </w:rPr>
        <w:t>)</w:t>
      </w:r>
    </w:p>
    <w:p>
      <w:pPr>
        <w:pStyle w:val="BodyText"/>
        <w:spacing w:before="3"/>
        <w:rPr>
          <w:sz w:val="20"/>
        </w:rPr>
      </w:pPr>
    </w:p>
    <w:p>
      <w:pPr>
        <w:pStyle w:val="BodyText"/>
        <w:spacing w:before="1"/>
        <w:ind w:left="113" w:right="916"/>
      </w:pPr>
      <w:r>
        <w:rPr/>
        <w:t>e-business MoU has specified a framework of cooperation among the bodies in the field of electronic business. e-business MoU can be found via </w:t>
      </w:r>
      <w:hyperlink r:id="rId20">
        <w:r>
          <w:rPr/>
          <w:t>https://www.itu.int/ITU-T/e-</w:t>
        </w:r>
      </w:hyperlink>
      <w:hyperlink r:id="rId20">
        <w:r>
          <w:rPr/>
          <w:t> business/files/mou.pdf</w:t>
        </w:r>
      </w:hyperlink>
      <w:r>
        <w:rPr/>
        <w:t>, and Annex A in e-business MoU is the divison of responsibilities.</w:t>
      </w:r>
    </w:p>
    <w:p>
      <w:pPr>
        <w:pStyle w:val="BodyText"/>
        <w:spacing w:before="10"/>
        <w:rPr>
          <w:sz w:val="21"/>
        </w:rPr>
      </w:pPr>
    </w:p>
    <w:p>
      <w:pPr>
        <w:pStyle w:val="Heading1"/>
        <w:numPr>
          <w:ilvl w:val="0"/>
          <w:numId w:val="3"/>
        </w:numPr>
        <w:tabs>
          <w:tab w:pos="821" w:val="left" w:leader="none"/>
          <w:tab w:pos="823" w:val="left" w:leader="none"/>
        </w:tabs>
        <w:spacing w:line="240" w:lineRule="auto" w:before="0" w:after="0"/>
        <w:ind w:left="822" w:right="0" w:hanging="710"/>
        <w:jc w:val="left"/>
      </w:pPr>
      <w:r>
        <w:rPr/>
        <w:t>OBJECTIVES OF THE ISO/TC </w:t>
      </w:r>
      <w:r>
        <w:rPr>
          <w:spacing w:val="-3"/>
        </w:rPr>
        <w:t>AND </w:t>
      </w:r>
      <w:r>
        <w:rPr/>
        <w:t>STRATEGIES FOR THEIR</w:t>
      </w:r>
      <w:r>
        <w:rPr>
          <w:spacing w:val="-7"/>
        </w:rPr>
        <w:t> </w:t>
      </w:r>
      <w:r>
        <w:rPr/>
        <w:t>ACHIEVEMENT</w:t>
      </w:r>
    </w:p>
    <w:p>
      <w:pPr>
        <w:pStyle w:val="BodyText"/>
        <w:spacing w:before="10"/>
        <w:rPr>
          <w:b/>
          <w:sz w:val="21"/>
        </w:rPr>
      </w:pPr>
    </w:p>
    <w:p>
      <w:pPr>
        <w:pStyle w:val="Heading2"/>
        <w:numPr>
          <w:ilvl w:val="1"/>
          <w:numId w:val="3"/>
        </w:numPr>
        <w:tabs>
          <w:tab w:pos="821" w:val="left" w:leader="none"/>
          <w:tab w:pos="823" w:val="left" w:leader="none"/>
        </w:tabs>
        <w:spacing w:line="240" w:lineRule="auto" w:before="0" w:after="0"/>
        <w:ind w:left="822" w:right="0" w:hanging="710"/>
        <w:jc w:val="left"/>
      </w:pPr>
      <w:r>
        <w:rPr/>
        <w:t>Defined objectives of the</w:t>
      </w:r>
      <w:r>
        <w:rPr>
          <w:spacing w:val="-2"/>
        </w:rPr>
        <w:t> </w:t>
      </w:r>
      <w:r>
        <w:rPr/>
        <w:t>ISO/TC</w:t>
      </w:r>
    </w:p>
    <w:p>
      <w:pPr>
        <w:pStyle w:val="BodyText"/>
        <w:spacing w:before="3"/>
        <w:rPr>
          <w:b/>
        </w:rPr>
      </w:pPr>
    </w:p>
    <w:p>
      <w:pPr>
        <w:pStyle w:val="BodyText"/>
        <w:spacing w:line="252" w:lineRule="exact"/>
        <w:ind w:left="113"/>
      </w:pPr>
      <w:r>
        <w:rPr/>
        <w:t>Vision</w:t>
      </w:r>
      <w:r>
        <w:rPr>
          <w:spacing w:val="-4"/>
        </w:rPr>
        <w:t> </w:t>
      </w:r>
      <w:r>
        <w:rPr/>
        <w:t>statement</w:t>
      </w:r>
    </w:p>
    <w:p>
      <w:pPr>
        <w:pStyle w:val="BodyText"/>
        <w:ind w:left="113" w:right="157"/>
      </w:pPr>
      <w:r>
        <w:rPr/>
        <w:t>It is the vision of ISO/TC 154 that all parties in the supply and value chain use standardized data exchange to reduce cost in managing the processes in the private and public domain and to foster trade</w:t>
      </w:r>
      <w:r>
        <w:rPr>
          <w:spacing w:val="-5"/>
        </w:rPr>
        <w:t> </w:t>
      </w:r>
      <w:r>
        <w:rPr/>
        <w:t>facilitation.</w:t>
      </w:r>
    </w:p>
    <w:p>
      <w:pPr>
        <w:pStyle w:val="BodyText"/>
        <w:spacing w:before="1"/>
      </w:pPr>
    </w:p>
    <w:p>
      <w:pPr>
        <w:pStyle w:val="BodyText"/>
        <w:spacing w:line="252" w:lineRule="exact"/>
        <w:ind w:left="113"/>
      </w:pPr>
      <w:r>
        <w:rPr/>
        <w:t>Mission statement</w:t>
      </w:r>
    </w:p>
    <w:p>
      <w:pPr>
        <w:pStyle w:val="BodyText"/>
        <w:ind w:left="113" w:right="1123"/>
      </w:pPr>
      <w:r>
        <w:rPr/>
        <w:t>The mission of ISO/TC 154 is both to undertake and to facilitate the development and maintenance of international standards for data exchange in the supply and value chain.</w:t>
      </w:r>
    </w:p>
    <w:p>
      <w:pPr>
        <w:pStyle w:val="BodyText"/>
        <w:spacing w:before="11"/>
        <w:rPr>
          <w:sz w:val="21"/>
        </w:rPr>
      </w:pPr>
    </w:p>
    <w:p>
      <w:pPr>
        <w:pStyle w:val="BodyText"/>
        <w:ind w:left="113" w:right="734"/>
      </w:pPr>
      <w:r>
        <w:rPr/>
        <w:t>These standards will consider syntax specific such as the standards of UN/EDIFACT, or any standards based on XML, etc..</w:t>
      </w:r>
    </w:p>
    <w:p>
      <w:pPr>
        <w:pStyle w:val="BodyText"/>
        <w:spacing w:before="1"/>
      </w:pPr>
    </w:p>
    <w:p>
      <w:pPr>
        <w:pStyle w:val="BodyText"/>
        <w:spacing w:before="1"/>
        <w:ind w:left="113" w:right="195"/>
      </w:pPr>
      <w:r>
        <w:rPr/>
        <w:t>Wherever possible, ISO/TC 154 fosters harmonisation between and within international standards development organizations, particularly through the </w:t>
      </w:r>
      <w:hyperlink r:id="rId21">
        <w:r>
          <w:rPr>
            <w:u w:val="single"/>
          </w:rPr>
          <w:t>e-business MoU</w:t>
        </w:r>
      </w:hyperlink>
      <w:r>
        <w:rPr/>
        <w:t>/MG.</w:t>
      </w:r>
    </w:p>
    <w:p>
      <w:pPr>
        <w:pStyle w:val="BodyText"/>
        <w:spacing w:before="7"/>
        <w:rPr>
          <w:sz w:val="13"/>
        </w:rPr>
      </w:pPr>
    </w:p>
    <w:p>
      <w:pPr>
        <w:pStyle w:val="Heading2"/>
        <w:numPr>
          <w:ilvl w:val="1"/>
          <w:numId w:val="3"/>
        </w:numPr>
        <w:tabs>
          <w:tab w:pos="821" w:val="left" w:leader="none"/>
          <w:tab w:pos="823" w:val="left" w:leader="none"/>
        </w:tabs>
        <w:spacing w:line="240" w:lineRule="auto" w:before="93" w:after="0"/>
        <w:ind w:left="822" w:right="0" w:hanging="710"/>
        <w:jc w:val="left"/>
      </w:pPr>
      <w:r>
        <w:rPr/>
        <w:t>Identified strategies to achieve the ISO/TC’s defined</w:t>
      </w:r>
      <w:r>
        <w:rPr>
          <w:spacing w:val="-12"/>
        </w:rPr>
        <w:t> </w:t>
      </w:r>
      <w:r>
        <w:rPr/>
        <w:t>objectives</w:t>
      </w:r>
    </w:p>
    <w:p>
      <w:pPr>
        <w:pStyle w:val="BodyText"/>
        <w:rPr>
          <w:b/>
        </w:rPr>
      </w:pPr>
    </w:p>
    <w:p>
      <w:pPr>
        <w:spacing w:before="1"/>
        <w:ind w:left="113" w:right="0" w:firstLine="0"/>
        <w:jc w:val="left"/>
        <w:rPr>
          <w:b/>
          <w:sz w:val="22"/>
        </w:rPr>
      </w:pPr>
      <w:r>
        <w:rPr>
          <w:b/>
          <w:sz w:val="22"/>
        </w:rPr>
        <w:t>Strategies</w:t>
      </w:r>
    </w:p>
    <w:p>
      <w:pPr>
        <w:pStyle w:val="ListParagraph"/>
        <w:numPr>
          <w:ilvl w:val="0"/>
          <w:numId w:val="4"/>
        </w:numPr>
        <w:tabs>
          <w:tab w:pos="475" w:val="left" w:leader="none"/>
        </w:tabs>
        <w:spacing w:line="252" w:lineRule="exact" w:before="1" w:after="0"/>
        <w:ind w:left="474" w:right="0" w:hanging="362"/>
        <w:jc w:val="left"/>
        <w:rPr>
          <w:sz w:val="22"/>
        </w:rPr>
      </w:pPr>
      <w:r>
        <w:rPr>
          <w:sz w:val="22"/>
        </w:rPr>
        <w:t>Offer a platform for collaboration on data exchange</w:t>
      </w:r>
      <w:r>
        <w:rPr>
          <w:spacing w:val="-8"/>
          <w:sz w:val="22"/>
        </w:rPr>
        <w:t> </w:t>
      </w:r>
      <w:r>
        <w:rPr>
          <w:sz w:val="22"/>
        </w:rPr>
        <w:t>standards</w:t>
      </w:r>
    </w:p>
    <w:p>
      <w:pPr>
        <w:pStyle w:val="ListParagraph"/>
        <w:numPr>
          <w:ilvl w:val="0"/>
          <w:numId w:val="4"/>
        </w:numPr>
        <w:tabs>
          <w:tab w:pos="475" w:val="left" w:leader="none"/>
        </w:tabs>
        <w:spacing w:line="252" w:lineRule="exact" w:before="0" w:after="0"/>
        <w:ind w:left="474" w:right="0" w:hanging="362"/>
        <w:jc w:val="left"/>
        <w:rPr>
          <w:sz w:val="22"/>
        </w:rPr>
      </w:pPr>
      <w:r>
        <w:rPr>
          <w:sz w:val="22"/>
        </w:rPr>
        <w:t>Encourage all relevant stakeholders to</w:t>
      </w:r>
      <w:r>
        <w:rPr>
          <w:spacing w:val="-3"/>
          <w:sz w:val="22"/>
        </w:rPr>
        <w:t> </w:t>
      </w:r>
      <w:r>
        <w:rPr>
          <w:sz w:val="22"/>
        </w:rPr>
        <w:t>participate</w:t>
      </w:r>
    </w:p>
    <w:p>
      <w:pPr>
        <w:spacing w:after="0" w:line="252" w:lineRule="exact"/>
        <w:jc w:val="left"/>
        <w:rPr>
          <w:sz w:val="22"/>
        </w:rPr>
        <w:sectPr>
          <w:headerReference w:type="default" r:id="rId15"/>
          <w:pgSz w:w="11910" w:h="16850"/>
          <w:pgMar w:header="976" w:footer="0" w:top="1220" w:bottom="280" w:left="1060" w:right="1020"/>
        </w:sectPr>
      </w:pPr>
    </w:p>
    <w:p>
      <w:pPr>
        <w:pStyle w:val="BodyText"/>
        <w:spacing w:before="10"/>
        <w:rPr>
          <w:sz w:val="13"/>
        </w:rPr>
      </w:pPr>
    </w:p>
    <w:p>
      <w:pPr>
        <w:pStyle w:val="ListParagraph"/>
        <w:numPr>
          <w:ilvl w:val="0"/>
          <w:numId w:val="4"/>
        </w:numPr>
        <w:tabs>
          <w:tab w:pos="475" w:val="left" w:leader="none"/>
        </w:tabs>
        <w:spacing w:line="240" w:lineRule="auto" w:before="93" w:after="0"/>
        <w:ind w:left="474" w:right="0" w:hanging="362"/>
        <w:jc w:val="left"/>
        <w:rPr>
          <w:sz w:val="22"/>
        </w:rPr>
      </w:pPr>
      <w:r>
        <w:rPr>
          <w:sz w:val="22"/>
        </w:rPr>
        <w:t>Promote the use of ISO/TC154</w:t>
      </w:r>
      <w:r>
        <w:rPr>
          <w:spacing w:val="-3"/>
          <w:sz w:val="22"/>
        </w:rPr>
        <w:t> </w:t>
      </w:r>
      <w:r>
        <w:rPr>
          <w:sz w:val="22"/>
        </w:rPr>
        <w:t>deliverables</w:t>
      </w:r>
    </w:p>
    <w:p>
      <w:pPr>
        <w:pStyle w:val="BodyText"/>
        <w:spacing w:before="11"/>
        <w:rPr>
          <w:sz w:val="32"/>
        </w:rPr>
      </w:pPr>
    </w:p>
    <w:p>
      <w:pPr>
        <w:pStyle w:val="Heading2"/>
        <w:ind w:left="113"/>
      </w:pPr>
      <w:r>
        <w:rPr/>
        <w:t>Action points</w:t>
      </w:r>
    </w:p>
    <w:p>
      <w:pPr>
        <w:pStyle w:val="ListParagraph"/>
        <w:numPr>
          <w:ilvl w:val="0"/>
          <w:numId w:val="5"/>
        </w:numPr>
        <w:tabs>
          <w:tab w:pos="475" w:val="left" w:leader="none"/>
        </w:tabs>
        <w:spacing w:line="240" w:lineRule="auto" w:before="2" w:after="0"/>
        <w:ind w:left="474" w:right="0" w:hanging="362"/>
        <w:jc w:val="left"/>
        <w:rPr>
          <w:sz w:val="22"/>
        </w:rPr>
      </w:pPr>
      <w:r>
        <w:rPr>
          <w:sz w:val="22"/>
        </w:rPr>
        <w:t>Develop and maintain </w:t>
      </w:r>
      <w:r>
        <w:rPr>
          <w:i/>
          <w:sz w:val="22"/>
        </w:rPr>
        <w:t>active </w:t>
      </w:r>
      <w:r>
        <w:rPr>
          <w:sz w:val="22"/>
        </w:rPr>
        <w:t>liaisons with relevant stakeholder organisations.</w:t>
      </w:r>
    </w:p>
    <w:p>
      <w:pPr>
        <w:pStyle w:val="ListParagraph"/>
        <w:numPr>
          <w:ilvl w:val="0"/>
          <w:numId w:val="5"/>
        </w:numPr>
        <w:tabs>
          <w:tab w:pos="475" w:val="left" w:leader="none"/>
        </w:tabs>
        <w:spacing w:line="240" w:lineRule="auto" w:before="1" w:after="0"/>
        <w:ind w:left="474" w:right="444" w:hanging="361"/>
        <w:jc w:val="left"/>
        <w:rPr>
          <w:sz w:val="22"/>
        </w:rPr>
      </w:pPr>
      <w:r>
        <w:rPr>
          <w:sz w:val="22"/>
        </w:rPr>
        <w:t>Actively monitor developments that impact the data exchange between parties in the supply and value</w:t>
      </w:r>
      <w:r>
        <w:rPr>
          <w:spacing w:val="-1"/>
          <w:sz w:val="22"/>
        </w:rPr>
        <w:t> </w:t>
      </w:r>
      <w:r>
        <w:rPr>
          <w:sz w:val="22"/>
        </w:rPr>
        <w:t>chain</w:t>
      </w:r>
    </w:p>
    <w:p>
      <w:pPr>
        <w:pStyle w:val="ListParagraph"/>
        <w:numPr>
          <w:ilvl w:val="0"/>
          <w:numId w:val="5"/>
        </w:numPr>
        <w:tabs>
          <w:tab w:pos="475" w:val="left" w:leader="none"/>
        </w:tabs>
        <w:spacing w:line="240" w:lineRule="auto" w:before="0" w:after="0"/>
        <w:ind w:left="474" w:right="912" w:hanging="361"/>
        <w:jc w:val="left"/>
        <w:rPr>
          <w:sz w:val="22"/>
        </w:rPr>
      </w:pPr>
      <w:r>
        <w:rPr>
          <w:sz w:val="22"/>
        </w:rPr>
        <w:t>Promote role of ISO/TC 154 to the National Standards Bodies in order to give them the possibilities to involve</w:t>
      </w:r>
      <w:r>
        <w:rPr>
          <w:spacing w:val="-1"/>
          <w:sz w:val="22"/>
        </w:rPr>
        <w:t> </w:t>
      </w:r>
      <w:r>
        <w:rPr>
          <w:sz w:val="22"/>
        </w:rPr>
        <w:t>stakeholders</w:t>
      </w:r>
    </w:p>
    <w:p>
      <w:pPr>
        <w:pStyle w:val="BodyText"/>
      </w:pPr>
    </w:p>
    <w:p>
      <w:pPr>
        <w:pStyle w:val="BodyText"/>
        <w:ind w:left="113" w:right="562"/>
      </w:pPr>
      <w:r>
        <w:rPr/>
        <w:t>ISO/TC 154 will play an active role as member of the ISO delegation to the Memorandum of Understanding between the International Electrotechnical Commission, the International Organization for Standardization, the International Telecommunication Union and the United Nations Economic Commission for Europe concerning standardization in the field of electronic business, see also clause 4.2.</w:t>
      </w:r>
    </w:p>
    <w:p>
      <w:pPr>
        <w:pStyle w:val="BodyText"/>
        <w:rPr>
          <w:sz w:val="24"/>
        </w:rPr>
      </w:pPr>
    </w:p>
    <w:p>
      <w:pPr>
        <w:pStyle w:val="BodyText"/>
        <w:spacing w:before="1"/>
        <w:rPr>
          <w:sz w:val="20"/>
        </w:rPr>
      </w:pPr>
    </w:p>
    <w:p>
      <w:pPr>
        <w:pStyle w:val="Heading1"/>
        <w:numPr>
          <w:ilvl w:val="0"/>
          <w:numId w:val="3"/>
        </w:numPr>
        <w:tabs>
          <w:tab w:pos="821" w:val="left" w:leader="none"/>
          <w:tab w:pos="823" w:val="left" w:leader="none"/>
        </w:tabs>
        <w:spacing w:line="240" w:lineRule="auto" w:before="0" w:after="0"/>
        <w:ind w:left="822" w:right="1925" w:hanging="709"/>
        <w:jc w:val="left"/>
      </w:pPr>
      <w:r>
        <w:rPr/>
        <w:t>FACTORS AFFECTING COMPLETION AND IMPLEMENTATION OF THE ISO/TC WORK</w:t>
      </w:r>
      <w:r>
        <w:rPr>
          <w:spacing w:val="-4"/>
        </w:rPr>
        <w:t> </w:t>
      </w:r>
      <w:r>
        <w:rPr/>
        <w:t>PROGRAMME</w:t>
      </w:r>
    </w:p>
    <w:p>
      <w:pPr>
        <w:pStyle w:val="BodyText"/>
        <w:ind w:left="113" w:right="452"/>
      </w:pPr>
      <w:r>
        <w:rPr/>
        <w:t>The following factors could affect the completion and implementation of the work programme of ISO/TC 154:</w:t>
      </w:r>
    </w:p>
    <w:p>
      <w:pPr>
        <w:pStyle w:val="ListParagraph"/>
        <w:numPr>
          <w:ilvl w:val="0"/>
          <w:numId w:val="6"/>
        </w:numPr>
        <w:tabs>
          <w:tab w:pos="475" w:val="left" w:leader="none"/>
        </w:tabs>
        <w:spacing w:line="251" w:lineRule="exact" w:before="0" w:after="0"/>
        <w:ind w:left="474" w:right="0" w:hanging="362"/>
        <w:jc w:val="left"/>
        <w:rPr>
          <w:sz w:val="22"/>
        </w:rPr>
      </w:pPr>
      <w:r>
        <w:rPr>
          <w:sz w:val="22"/>
        </w:rPr>
        <w:t>A lack of resources and the lack of active participation in ISO/TC</w:t>
      </w:r>
      <w:r>
        <w:rPr>
          <w:spacing w:val="2"/>
          <w:sz w:val="22"/>
        </w:rPr>
        <w:t> </w:t>
      </w:r>
      <w:r>
        <w:rPr>
          <w:sz w:val="22"/>
        </w:rPr>
        <w:t>154</w:t>
      </w:r>
    </w:p>
    <w:p>
      <w:pPr>
        <w:pStyle w:val="ListParagraph"/>
        <w:numPr>
          <w:ilvl w:val="0"/>
          <w:numId w:val="6"/>
        </w:numPr>
        <w:tabs>
          <w:tab w:pos="475" w:val="left" w:leader="none"/>
        </w:tabs>
        <w:spacing w:line="252" w:lineRule="exact" w:before="1" w:after="0"/>
        <w:ind w:left="474" w:right="0" w:hanging="362"/>
        <w:jc w:val="left"/>
        <w:rPr>
          <w:sz w:val="22"/>
        </w:rPr>
      </w:pPr>
      <w:r>
        <w:rPr>
          <w:sz w:val="22"/>
        </w:rPr>
        <w:t>The missing links between National Standards Bodies and interested</w:t>
      </w:r>
      <w:r>
        <w:rPr>
          <w:spacing w:val="-12"/>
          <w:sz w:val="22"/>
        </w:rPr>
        <w:t> </w:t>
      </w:r>
      <w:r>
        <w:rPr>
          <w:sz w:val="22"/>
        </w:rPr>
        <w:t>stakeholders</w:t>
      </w:r>
    </w:p>
    <w:p>
      <w:pPr>
        <w:pStyle w:val="ListParagraph"/>
        <w:numPr>
          <w:ilvl w:val="0"/>
          <w:numId w:val="6"/>
        </w:numPr>
        <w:tabs>
          <w:tab w:pos="475" w:val="left" w:leader="none"/>
        </w:tabs>
        <w:spacing w:line="252" w:lineRule="exact" w:before="0" w:after="0"/>
        <w:ind w:left="474" w:right="0" w:hanging="362"/>
        <w:jc w:val="left"/>
        <w:rPr>
          <w:sz w:val="22"/>
        </w:rPr>
      </w:pPr>
      <w:r>
        <w:rPr>
          <w:sz w:val="22"/>
        </w:rPr>
        <w:t>The lack of up-to-date and complete data</w:t>
      </w:r>
      <w:r>
        <w:rPr>
          <w:spacing w:val="-1"/>
          <w:sz w:val="22"/>
        </w:rPr>
        <w:t> </w:t>
      </w:r>
      <w:r>
        <w:rPr>
          <w:sz w:val="22"/>
        </w:rPr>
        <w:t>directories</w:t>
      </w:r>
    </w:p>
    <w:p>
      <w:pPr>
        <w:pStyle w:val="ListParagraph"/>
        <w:numPr>
          <w:ilvl w:val="0"/>
          <w:numId w:val="6"/>
        </w:numPr>
        <w:tabs>
          <w:tab w:pos="475" w:val="left" w:leader="none"/>
        </w:tabs>
        <w:spacing w:line="240" w:lineRule="auto" w:before="2" w:after="0"/>
        <w:ind w:left="474" w:right="1061" w:hanging="361"/>
        <w:jc w:val="left"/>
        <w:rPr>
          <w:sz w:val="22"/>
        </w:rPr>
      </w:pPr>
      <w:r>
        <w:rPr>
          <w:sz w:val="22"/>
        </w:rPr>
        <w:t>The inconsistency in procedures (particularly maintenance and development) and the multiplication of working platforms across relevant stakeholder</w:t>
      </w:r>
      <w:r>
        <w:rPr>
          <w:spacing w:val="-11"/>
          <w:sz w:val="22"/>
        </w:rPr>
        <w:t> </w:t>
      </w:r>
      <w:r>
        <w:rPr>
          <w:sz w:val="22"/>
        </w:rPr>
        <w:t>organizations</w:t>
      </w:r>
    </w:p>
    <w:p>
      <w:pPr>
        <w:pStyle w:val="ListParagraph"/>
        <w:numPr>
          <w:ilvl w:val="0"/>
          <w:numId w:val="6"/>
        </w:numPr>
        <w:tabs>
          <w:tab w:pos="475" w:val="left" w:leader="none"/>
        </w:tabs>
        <w:spacing w:line="240" w:lineRule="auto" w:before="0" w:after="0"/>
        <w:ind w:left="474" w:right="723" w:hanging="361"/>
        <w:jc w:val="left"/>
        <w:rPr>
          <w:sz w:val="22"/>
        </w:rPr>
      </w:pPr>
      <w:r>
        <w:rPr>
          <w:sz w:val="22"/>
        </w:rPr>
        <w:t>The lack of stakeholder awareness of the activities and the benefits of the deliverables</w:t>
      </w:r>
      <w:r>
        <w:rPr>
          <w:spacing w:val="-30"/>
          <w:sz w:val="22"/>
        </w:rPr>
        <w:t> </w:t>
      </w:r>
      <w:r>
        <w:rPr>
          <w:sz w:val="22"/>
        </w:rPr>
        <w:t>of ISO/TC 154</w:t>
      </w:r>
    </w:p>
    <w:p>
      <w:pPr>
        <w:pStyle w:val="BodyText"/>
        <w:rPr>
          <w:sz w:val="24"/>
        </w:rPr>
      </w:pPr>
    </w:p>
    <w:p>
      <w:pPr>
        <w:pStyle w:val="BodyText"/>
        <w:spacing w:before="11"/>
        <w:rPr>
          <w:sz w:val="19"/>
        </w:rPr>
      </w:pPr>
    </w:p>
    <w:p>
      <w:pPr>
        <w:pStyle w:val="Heading1"/>
        <w:numPr>
          <w:ilvl w:val="0"/>
          <w:numId w:val="3"/>
        </w:numPr>
        <w:tabs>
          <w:tab w:pos="821" w:val="left" w:leader="none"/>
          <w:tab w:pos="823" w:val="left" w:leader="none"/>
        </w:tabs>
        <w:spacing w:line="240" w:lineRule="auto" w:before="0" w:after="0"/>
        <w:ind w:left="822" w:right="0" w:hanging="710"/>
        <w:jc w:val="left"/>
      </w:pPr>
      <w:r>
        <w:rPr/>
        <w:t>STRUCTURE, CURRENT PROJECTS </w:t>
      </w:r>
      <w:r>
        <w:rPr>
          <w:spacing w:val="-3"/>
        </w:rPr>
        <w:t>AND </w:t>
      </w:r>
      <w:r>
        <w:rPr/>
        <w:t>PUBLICATIONS OF THE</w:t>
      </w:r>
      <w:r>
        <w:rPr>
          <w:spacing w:val="2"/>
        </w:rPr>
        <w:t> </w:t>
      </w:r>
      <w:r>
        <w:rPr/>
        <w:t>ISO/TC</w:t>
      </w:r>
    </w:p>
    <w:p>
      <w:pPr>
        <w:pStyle w:val="BodyText"/>
        <w:spacing w:before="1"/>
        <w:rPr>
          <w:b/>
        </w:rPr>
      </w:pPr>
    </w:p>
    <w:p>
      <w:pPr>
        <w:pStyle w:val="BodyText"/>
        <w:ind w:left="113" w:right="245"/>
      </w:pPr>
      <w:r>
        <w:rPr/>
        <w:t>This section gives an overview of the ISO/TC’s structure, scopes of the ISO/TCs and any existing subcommittees/working group and information on existing and planned standardization projects, publication of the ISO/TC and its subcommittees.</w:t>
      </w:r>
    </w:p>
    <w:p>
      <w:pPr>
        <w:pStyle w:val="BodyText"/>
        <w:spacing w:before="7"/>
        <w:rPr>
          <w:sz w:val="21"/>
        </w:rPr>
      </w:pPr>
    </w:p>
    <w:p>
      <w:pPr>
        <w:pStyle w:val="Heading2"/>
        <w:numPr>
          <w:ilvl w:val="1"/>
          <w:numId w:val="3"/>
        </w:numPr>
        <w:tabs>
          <w:tab w:pos="484" w:val="left" w:leader="none"/>
        </w:tabs>
        <w:spacing w:line="240" w:lineRule="auto" w:before="1" w:after="0"/>
        <w:ind w:left="483" w:right="0" w:hanging="371"/>
        <w:jc w:val="left"/>
      </w:pPr>
      <w:hyperlink r:id="rId23">
        <w:r>
          <w:rPr>
            <w:u w:val="thick"/>
          </w:rPr>
          <w:t>Structure of the ISO</w:t>
        </w:r>
        <w:r>
          <w:rPr>
            <w:spacing w:val="-4"/>
            <w:u w:val="thick"/>
          </w:rPr>
          <w:t> </w:t>
        </w:r>
        <w:r>
          <w:rPr>
            <w:u w:val="thick"/>
          </w:rPr>
          <w:t>committee</w:t>
        </w:r>
      </w:hyperlink>
    </w:p>
    <w:p>
      <w:pPr>
        <w:spacing w:before="15"/>
        <w:ind w:left="113" w:right="0" w:firstLine="0"/>
        <w:jc w:val="left"/>
        <w:rPr>
          <w:sz w:val="20"/>
        </w:rPr>
      </w:pPr>
      <w:r>
        <w:rPr>
          <w:sz w:val="20"/>
        </w:rPr>
        <w:t>https://</w:t>
      </w:r>
      <w:hyperlink r:id="rId18">
        <w:r>
          <w:rPr>
            <w:sz w:val="20"/>
          </w:rPr>
          <w:t>www.iso.org/committee/53186.html</w:t>
        </w:r>
      </w:hyperlink>
    </w:p>
    <w:p>
      <w:pPr>
        <w:pStyle w:val="BodyText"/>
        <w:spacing w:before="8"/>
        <w:rPr>
          <w:sz w:val="21"/>
        </w:rPr>
      </w:pPr>
    </w:p>
    <w:p>
      <w:pPr>
        <w:spacing w:line="228" w:lineRule="exact" w:before="0"/>
        <w:ind w:left="113" w:right="0" w:firstLine="0"/>
        <w:jc w:val="left"/>
        <w:rPr>
          <w:sz w:val="20"/>
        </w:rPr>
      </w:pPr>
      <w:r>
        <w:rPr>
          <w:sz w:val="20"/>
        </w:rPr>
        <w:t>1) CAG- Co-ordination Advisory Group</w:t>
      </w:r>
    </w:p>
    <w:p>
      <w:pPr>
        <w:spacing w:line="237" w:lineRule="auto" w:before="0"/>
        <w:ind w:left="113" w:right="300" w:firstLine="0"/>
        <w:jc w:val="left"/>
        <w:rPr>
          <w:sz w:val="21"/>
        </w:rPr>
      </w:pPr>
      <w:r>
        <w:rPr>
          <w:sz w:val="21"/>
        </w:rPr>
        <w:t>CAG is not a decision making body and its role is as an advisory body, the detail function of CAG can be found in N607.</w:t>
      </w:r>
    </w:p>
    <w:p>
      <w:pPr>
        <w:pStyle w:val="BodyText"/>
        <w:rPr>
          <w:sz w:val="24"/>
        </w:rPr>
      </w:pPr>
    </w:p>
    <w:p>
      <w:pPr>
        <w:pStyle w:val="ListParagraph"/>
        <w:numPr>
          <w:ilvl w:val="0"/>
          <w:numId w:val="7"/>
        </w:numPr>
        <w:tabs>
          <w:tab w:pos="425" w:val="left" w:leader="none"/>
        </w:tabs>
        <w:spacing w:line="240" w:lineRule="auto" w:before="214" w:after="0"/>
        <w:ind w:left="424" w:right="0" w:hanging="312"/>
        <w:jc w:val="left"/>
        <w:rPr>
          <w:sz w:val="20"/>
        </w:rPr>
      </w:pPr>
      <w:r>
        <w:rPr>
          <w:sz w:val="20"/>
        </w:rPr>
        <w:t>JWG1- Joint syntax working group (with</w:t>
      </w:r>
      <w:r>
        <w:rPr>
          <w:spacing w:val="-1"/>
          <w:sz w:val="20"/>
        </w:rPr>
        <w:t> </w:t>
      </w:r>
      <w:r>
        <w:rPr>
          <w:sz w:val="20"/>
        </w:rPr>
        <w:t>UNECE)</w:t>
      </w:r>
    </w:p>
    <w:p>
      <w:pPr>
        <w:spacing w:line="242" w:lineRule="auto" w:before="10"/>
        <w:ind w:left="113" w:right="2282" w:firstLine="0"/>
        <w:jc w:val="left"/>
        <w:rPr>
          <w:rFonts w:ascii="SimSun" w:eastAsia="SimSun" w:hint="eastAsia"/>
          <w:sz w:val="20"/>
        </w:rPr>
      </w:pPr>
      <w:r>
        <w:rPr>
          <w:sz w:val="20"/>
        </w:rPr>
        <w:t>It was established by ISO/TC 15 in collaboration with UNECE through UN/CEFACT. Scope statement</w:t>
      </w:r>
      <w:r>
        <w:rPr>
          <w:rFonts w:ascii="SimSun" w:eastAsia="SimSun" w:hint="eastAsia"/>
          <w:sz w:val="20"/>
        </w:rPr>
        <w:t>：</w:t>
      </w:r>
    </w:p>
    <w:p>
      <w:pPr>
        <w:spacing w:before="11"/>
        <w:ind w:left="113" w:right="0" w:firstLine="0"/>
        <w:jc w:val="left"/>
        <w:rPr>
          <w:sz w:val="20"/>
        </w:rPr>
      </w:pPr>
      <w:r>
        <w:rPr>
          <w:sz w:val="20"/>
        </w:rPr>
        <w:t>The scope of JWG1 also includes the maintaince, update and extend of ISO 9735.</w:t>
      </w:r>
    </w:p>
    <w:p>
      <w:pPr>
        <w:pStyle w:val="BodyText"/>
      </w:pPr>
    </w:p>
    <w:p>
      <w:pPr>
        <w:pStyle w:val="BodyText"/>
        <w:spacing w:before="7"/>
        <w:rPr>
          <w:sz w:val="20"/>
        </w:rPr>
      </w:pPr>
    </w:p>
    <w:p>
      <w:pPr>
        <w:spacing w:before="0"/>
        <w:ind w:left="113" w:right="0" w:firstLine="0"/>
        <w:jc w:val="left"/>
        <w:rPr>
          <w:sz w:val="20"/>
        </w:rPr>
      </w:pPr>
      <w:r>
        <w:rPr>
          <w:sz w:val="20"/>
        </w:rPr>
        <w:t>3) WG4 - e-document</w:t>
      </w:r>
    </w:p>
    <w:p>
      <w:pPr>
        <w:spacing w:line="268" w:lineRule="exact" w:before="2"/>
        <w:ind w:left="113" w:right="0" w:firstLine="0"/>
        <w:jc w:val="left"/>
        <w:rPr>
          <w:rFonts w:ascii="SimSun" w:eastAsia="SimSun" w:hint="eastAsia"/>
          <w:sz w:val="21"/>
        </w:rPr>
      </w:pPr>
      <w:r>
        <w:rPr>
          <w:rFonts w:ascii="Corbel" w:eastAsia="Corbel"/>
          <w:sz w:val="21"/>
        </w:rPr>
        <w:t>Scope statement</w:t>
      </w:r>
      <w:r>
        <w:rPr>
          <w:rFonts w:ascii="SimSun" w:eastAsia="SimSun" w:hint="eastAsia"/>
          <w:sz w:val="21"/>
        </w:rPr>
        <w:t>：</w:t>
      </w:r>
    </w:p>
    <w:p>
      <w:pPr>
        <w:spacing w:before="0"/>
        <w:ind w:left="113" w:right="260" w:firstLine="0"/>
        <w:jc w:val="left"/>
        <w:rPr>
          <w:rFonts w:ascii="Corbel"/>
          <w:sz w:val="21"/>
        </w:rPr>
      </w:pPr>
      <w:r>
        <w:rPr>
          <w:rFonts w:ascii="Corbel"/>
          <w:sz w:val="21"/>
        </w:rPr>
        <w:t>Standardization of e-document concepts and semantics to support people, systems and processes involved in developing, publishing and using of e-documents.</w:t>
      </w:r>
    </w:p>
    <w:p>
      <w:pPr>
        <w:spacing w:after="0"/>
        <w:jc w:val="left"/>
        <w:rPr>
          <w:rFonts w:ascii="Corbel"/>
          <w:sz w:val="21"/>
        </w:rPr>
        <w:sectPr>
          <w:headerReference w:type="default" r:id="rId22"/>
          <w:pgSz w:w="11910" w:h="16850"/>
          <w:pgMar w:header="976" w:footer="0" w:top="1220" w:bottom="280" w:left="1060" w:right="1020"/>
        </w:sectPr>
      </w:pPr>
    </w:p>
    <w:p>
      <w:pPr>
        <w:pStyle w:val="BodyText"/>
        <w:rPr>
          <w:rFonts w:ascii="Corbel"/>
          <w:sz w:val="20"/>
        </w:rPr>
      </w:pPr>
    </w:p>
    <w:p>
      <w:pPr>
        <w:pStyle w:val="BodyText"/>
        <w:spacing w:before="10"/>
        <w:rPr>
          <w:rFonts w:ascii="Corbel"/>
          <w:sz w:val="16"/>
        </w:rPr>
      </w:pPr>
    </w:p>
    <w:p>
      <w:pPr>
        <w:pStyle w:val="ListParagraph"/>
        <w:numPr>
          <w:ilvl w:val="0"/>
          <w:numId w:val="7"/>
        </w:numPr>
        <w:tabs>
          <w:tab w:pos="425" w:val="left" w:leader="none"/>
        </w:tabs>
        <w:spacing w:line="244" w:lineRule="auto" w:before="0" w:after="0"/>
        <w:ind w:left="113" w:right="5974" w:firstLine="0"/>
        <w:jc w:val="left"/>
        <w:rPr>
          <w:rFonts w:ascii="SimSun" w:eastAsia="SimSun" w:hint="eastAsia"/>
          <w:sz w:val="20"/>
        </w:rPr>
      </w:pPr>
      <w:r>
        <w:rPr>
          <w:sz w:val="20"/>
        </w:rPr>
        <w:t>WG5- Representation of date and time Scope</w:t>
      </w:r>
      <w:r>
        <w:rPr>
          <w:spacing w:val="-2"/>
          <w:sz w:val="20"/>
        </w:rPr>
        <w:t> </w:t>
      </w:r>
      <w:r>
        <w:rPr>
          <w:sz w:val="20"/>
        </w:rPr>
        <w:t>statement</w:t>
      </w:r>
      <w:r>
        <w:rPr>
          <w:rFonts w:ascii="SimSun" w:eastAsia="SimSun" w:hint="eastAsia"/>
          <w:sz w:val="20"/>
        </w:rPr>
        <w:t>：</w:t>
      </w:r>
    </w:p>
    <w:p>
      <w:pPr>
        <w:spacing w:line="249" w:lineRule="auto" w:before="6"/>
        <w:ind w:left="334" w:right="98" w:firstLine="0"/>
        <w:jc w:val="left"/>
        <w:rPr>
          <w:sz w:val="20"/>
        </w:rPr>
      </w:pPr>
      <w:r>
        <w:rPr>
          <w:sz w:val="20"/>
        </w:rPr>
        <w:t>The scope of WG5 is to provide a standardization platform for all date and time stakeholders, for enabling a unified way of interoperating with date and time across populations and systems. This includes standardizing concepts and semantics related to date and time, systems and processes that use or measure date and time, interoperability of information systems that utilize date and time, and facilitating alignment of date and time standards with other organizations and efforts.</w:t>
      </w:r>
    </w:p>
    <w:p>
      <w:pPr>
        <w:pStyle w:val="BodyText"/>
      </w:pPr>
    </w:p>
    <w:p>
      <w:pPr>
        <w:pStyle w:val="BodyText"/>
        <w:spacing w:before="6"/>
        <w:rPr>
          <w:sz w:val="18"/>
        </w:rPr>
      </w:pPr>
    </w:p>
    <w:p>
      <w:pPr>
        <w:pStyle w:val="ListParagraph"/>
        <w:numPr>
          <w:ilvl w:val="0"/>
          <w:numId w:val="7"/>
        </w:numPr>
        <w:tabs>
          <w:tab w:pos="425" w:val="left" w:leader="none"/>
        </w:tabs>
        <w:spacing w:line="242" w:lineRule="auto" w:before="0" w:after="0"/>
        <w:ind w:left="113" w:right="6492" w:firstLine="0"/>
        <w:jc w:val="left"/>
        <w:rPr>
          <w:rFonts w:ascii="SimSun" w:eastAsia="SimSun" w:hint="eastAsia"/>
          <w:sz w:val="20"/>
        </w:rPr>
      </w:pPr>
      <w:r>
        <w:rPr>
          <w:sz w:val="20"/>
        </w:rPr>
        <w:t>WG6- Trusted</w:t>
      </w:r>
      <w:r>
        <w:rPr>
          <w:spacing w:val="-6"/>
          <w:sz w:val="20"/>
        </w:rPr>
        <w:t> </w:t>
      </w:r>
      <w:r>
        <w:rPr>
          <w:sz w:val="20"/>
        </w:rPr>
        <w:t>eCommunications Scope</w:t>
      </w:r>
      <w:r>
        <w:rPr>
          <w:spacing w:val="-2"/>
          <w:sz w:val="20"/>
        </w:rPr>
        <w:t> </w:t>
      </w:r>
      <w:r>
        <w:rPr>
          <w:sz w:val="20"/>
        </w:rPr>
        <w:t>statement</w:t>
      </w:r>
      <w:r>
        <w:rPr>
          <w:rFonts w:ascii="SimSun" w:eastAsia="SimSun" w:hint="eastAsia"/>
          <w:sz w:val="20"/>
        </w:rPr>
        <w:t>：</w:t>
      </w:r>
    </w:p>
    <w:p>
      <w:pPr>
        <w:spacing w:line="240" w:lineRule="auto" w:before="0"/>
        <w:ind w:left="113" w:right="170" w:firstLine="0"/>
        <w:jc w:val="left"/>
        <w:rPr>
          <w:sz w:val="20"/>
        </w:rPr>
      </w:pPr>
      <w:r>
        <w:rPr>
          <w:sz w:val="20"/>
        </w:rPr>
        <w:t>The scope of WG6 related to business transactions of TC154 scope such as e-commerce, e-industry and e- administration. It focuses on reliable and identifiable methods, requirements and technology which can be retained such as legally binding e-transactions between communication entities for long periods. And WG6 also covers considerations about trusted e-communications, in the environment of mobile, IoT and cloud, which is aligned with the development of emerging ICT technology.</w:t>
      </w:r>
    </w:p>
    <w:p>
      <w:pPr>
        <w:pStyle w:val="BodyText"/>
      </w:pPr>
    </w:p>
    <w:p>
      <w:pPr>
        <w:pStyle w:val="BodyText"/>
        <w:spacing w:before="1"/>
        <w:rPr>
          <w:sz w:val="20"/>
        </w:rPr>
      </w:pPr>
    </w:p>
    <w:p>
      <w:pPr>
        <w:pStyle w:val="ListParagraph"/>
        <w:numPr>
          <w:ilvl w:val="0"/>
          <w:numId w:val="7"/>
        </w:numPr>
        <w:tabs>
          <w:tab w:pos="425" w:val="left" w:leader="none"/>
        </w:tabs>
        <w:spacing w:line="242" w:lineRule="auto" w:before="0" w:after="0"/>
        <w:ind w:left="113" w:right="7423" w:firstLine="0"/>
        <w:jc w:val="left"/>
        <w:rPr>
          <w:rFonts w:ascii="SimSun" w:eastAsia="SimSun" w:hint="eastAsia"/>
          <w:sz w:val="20"/>
        </w:rPr>
      </w:pPr>
      <w:r>
        <w:rPr>
          <w:sz w:val="20"/>
        </w:rPr>
        <w:t>WG7- Digital business Scope</w:t>
      </w:r>
      <w:r>
        <w:rPr>
          <w:spacing w:val="-2"/>
          <w:sz w:val="20"/>
        </w:rPr>
        <w:t> </w:t>
      </w:r>
      <w:r>
        <w:rPr>
          <w:sz w:val="20"/>
        </w:rPr>
        <w:t>statement</w:t>
      </w:r>
      <w:r>
        <w:rPr>
          <w:rFonts w:ascii="SimSun" w:eastAsia="SimSun" w:hint="eastAsia"/>
          <w:sz w:val="20"/>
        </w:rPr>
        <w:t>：</w:t>
      </w:r>
    </w:p>
    <w:p>
      <w:pPr>
        <w:spacing w:line="249" w:lineRule="auto" w:before="8"/>
        <w:ind w:left="113" w:right="202" w:firstLine="0"/>
        <w:jc w:val="left"/>
        <w:rPr>
          <w:sz w:val="20"/>
        </w:rPr>
      </w:pPr>
      <w:r>
        <w:rPr>
          <w:sz w:val="20"/>
        </w:rPr>
        <w:t>A key task of WG7 is to enhance interoperability by developing technical specifications in support of semantics, digital innovations and associated concepts that enable standardized cross-enterprise solutions. Furthermore, the provision of accessible or open data and related frameworks in the field of e-commerce helps to align business processes and foster global collaboration and interchange.</w:t>
      </w:r>
    </w:p>
    <w:p>
      <w:pPr>
        <w:pStyle w:val="BodyText"/>
      </w:pPr>
    </w:p>
    <w:p>
      <w:pPr>
        <w:pStyle w:val="BodyText"/>
        <w:spacing w:before="4"/>
        <w:rPr>
          <w:sz w:val="19"/>
        </w:rPr>
      </w:pPr>
    </w:p>
    <w:p>
      <w:pPr>
        <w:pStyle w:val="ListParagraph"/>
        <w:numPr>
          <w:ilvl w:val="0"/>
          <w:numId w:val="7"/>
        </w:numPr>
        <w:tabs>
          <w:tab w:pos="425" w:val="left" w:leader="none"/>
        </w:tabs>
        <w:spacing w:line="240" w:lineRule="auto" w:before="1" w:after="0"/>
        <w:ind w:left="424" w:right="0" w:hanging="312"/>
        <w:jc w:val="both"/>
        <w:rPr>
          <w:sz w:val="20"/>
        </w:rPr>
      </w:pPr>
      <w:r>
        <w:rPr>
          <w:sz w:val="20"/>
        </w:rPr>
        <w:t>JWG8- logistics data contents and</w:t>
      </w:r>
      <w:r>
        <w:rPr>
          <w:spacing w:val="1"/>
          <w:sz w:val="20"/>
        </w:rPr>
        <w:t> </w:t>
      </w:r>
      <w:r>
        <w:rPr>
          <w:sz w:val="20"/>
        </w:rPr>
        <w:t>process</w:t>
      </w:r>
    </w:p>
    <w:p>
      <w:pPr>
        <w:spacing w:line="242" w:lineRule="auto" w:before="13"/>
        <w:ind w:left="113" w:right="2189" w:firstLine="0"/>
        <w:jc w:val="both"/>
        <w:rPr>
          <w:rFonts w:ascii="SimSun" w:eastAsia="SimSun" w:hint="eastAsia"/>
          <w:sz w:val="20"/>
        </w:rPr>
      </w:pPr>
      <w:r>
        <w:rPr>
          <w:sz w:val="20"/>
        </w:rPr>
        <w:t>It was established by ISO/TC 154 in collaboration with UNECE through UN/CEFACT. Scope statement</w:t>
      </w:r>
      <w:r>
        <w:rPr>
          <w:rFonts w:ascii="SimSun" w:eastAsia="SimSun" w:hint="eastAsia"/>
          <w:sz w:val="20"/>
        </w:rPr>
        <w:t>：</w:t>
      </w:r>
    </w:p>
    <w:p>
      <w:pPr>
        <w:spacing w:line="249" w:lineRule="auto" w:before="8"/>
        <w:ind w:left="113" w:right="617" w:firstLine="0"/>
        <w:jc w:val="both"/>
        <w:rPr>
          <w:sz w:val="20"/>
        </w:rPr>
      </w:pPr>
      <w:r>
        <w:rPr>
          <w:sz w:val="20"/>
        </w:rPr>
        <w:t>The scope of JWG8 is to develop the processs, data elements related standards that are used for data exchanging between e-commerce platform and the related logistics information service providers etc to facilitate on-line trade.</w:t>
      </w:r>
    </w:p>
    <w:p>
      <w:pPr>
        <w:pStyle w:val="BodyText"/>
      </w:pPr>
    </w:p>
    <w:p>
      <w:pPr>
        <w:pStyle w:val="BodyText"/>
        <w:spacing w:before="8"/>
        <w:rPr>
          <w:sz w:val="18"/>
        </w:rPr>
      </w:pPr>
    </w:p>
    <w:p>
      <w:pPr>
        <w:pStyle w:val="Heading2"/>
        <w:numPr>
          <w:ilvl w:val="1"/>
          <w:numId w:val="3"/>
        </w:numPr>
        <w:tabs>
          <w:tab w:pos="484" w:val="left" w:leader="none"/>
        </w:tabs>
        <w:spacing w:line="240" w:lineRule="auto" w:before="1" w:after="0"/>
        <w:ind w:left="483" w:right="0" w:hanging="371"/>
        <w:jc w:val="left"/>
      </w:pPr>
      <w:hyperlink r:id="rId25">
        <w:r>
          <w:rPr>
            <w:u w:val="thick"/>
          </w:rPr>
          <w:t>Current projects of the ISO technical committee and its</w:t>
        </w:r>
        <w:r>
          <w:rPr>
            <w:spacing w:val="-14"/>
            <w:u w:val="thick"/>
          </w:rPr>
          <w:t> </w:t>
        </w:r>
        <w:r>
          <w:rPr>
            <w:u w:val="thick"/>
          </w:rPr>
          <w:t>subcommittees</w:t>
        </w:r>
      </w:hyperlink>
    </w:p>
    <w:p>
      <w:pPr>
        <w:spacing w:before="13"/>
        <w:ind w:left="113" w:right="0" w:firstLine="0"/>
        <w:jc w:val="left"/>
        <w:rPr>
          <w:sz w:val="20"/>
        </w:rPr>
      </w:pPr>
      <w:r>
        <w:rPr>
          <w:sz w:val="20"/>
          <w:u w:val="single"/>
        </w:rPr>
        <w:t>https://</w:t>
      </w:r>
      <w:hyperlink r:id="rId26">
        <w:r>
          <w:rPr>
            <w:sz w:val="20"/>
            <w:u w:val="single"/>
          </w:rPr>
          <w:t>www.iso.org/committee/53186/x/catalogue/p/0/u/1/w/0/d/0</w:t>
        </w:r>
      </w:hyperlink>
    </w:p>
    <w:p>
      <w:pPr>
        <w:pStyle w:val="BodyText"/>
        <w:spacing w:before="5"/>
        <w:rPr>
          <w:sz w:val="20"/>
        </w:rPr>
      </w:pPr>
    </w:p>
    <w:p>
      <w:pPr>
        <w:pStyle w:val="Heading2"/>
        <w:numPr>
          <w:ilvl w:val="1"/>
          <w:numId w:val="3"/>
        </w:numPr>
        <w:tabs>
          <w:tab w:pos="484" w:val="left" w:leader="none"/>
        </w:tabs>
        <w:spacing w:line="240" w:lineRule="auto" w:before="1" w:after="0"/>
        <w:ind w:left="483" w:right="0" w:hanging="371"/>
        <w:jc w:val="left"/>
      </w:pPr>
      <w:hyperlink r:id="rId27">
        <w:r>
          <w:rPr>
            <w:u w:val="thick"/>
          </w:rPr>
          <w:t>Publications of the ISO technical committee and its</w:t>
        </w:r>
        <w:r>
          <w:rPr>
            <w:spacing w:val="-16"/>
            <w:u w:val="thick"/>
          </w:rPr>
          <w:t> </w:t>
        </w:r>
        <w:r>
          <w:rPr>
            <w:u w:val="thick"/>
          </w:rPr>
          <w:t>subcommittees</w:t>
        </w:r>
      </w:hyperlink>
    </w:p>
    <w:p>
      <w:pPr>
        <w:spacing w:before="15"/>
        <w:ind w:left="113" w:right="0" w:firstLine="0"/>
        <w:jc w:val="left"/>
        <w:rPr>
          <w:sz w:val="20"/>
        </w:rPr>
      </w:pPr>
      <w:r>
        <w:rPr>
          <w:sz w:val="20"/>
        </w:rPr>
        <w:t>https://</w:t>
      </w:r>
      <w:hyperlink r:id="rId28">
        <w:r>
          <w:rPr>
            <w:sz w:val="20"/>
          </w:rPr>
          <w:t>www.iso.org/committee/53186/x/catalogue/p/1/u/0/w/0/d/0</w:t>
        </w:r>
      </w:hyperlink>
    </w:p>
    <w:p>
      <w:pPr>
        <w:pStyle w:val="BodyText"/>
        <w:spacing w:before="9"/>
        <w:rPr>
          <w:sz w:val="20"/>
        </w:rPr>
      </w:pPr>
    </w:p>
    <w:p>
      <w:pPr>
        <w:pStyle w:val="Heading1"/>
        <w:ind w:left="113" w:firstLine="0"/>
      </w:pPr>
      <w:r>
        <w:rPr/>
        <w:t>Reference information</w:t>
      </w:r>
    </w:p>
    <w:p>
      <w:pPr>
        <w:pStyle w:val="BodyText"/>
        <w:spacing w:before="10"/>
        <w:rPr>
          <w:b/>
          <w:sz w:val="21"/>
        </w:rPr>
      </w:pPr>
    </w:p>
    <w:p>
      <w:pPr>
        <w:pStyle w:val="Heading3"/>
        <w:rPr>
          <w:i/>
          <w:u w:val="none"/>
        </w:rPr>
      </w:pPr>
      <w:hyperlink r:id="rId29">
        <w:r>
          <w:rPr>
            <w:i/>
            <w:u w:val="thick"/>
          </w:rPr>
          <w:t>Glossary of terms and abbreviations used in ISO/TC Business Plans</w:t>
        </w:r>
      </w:hyperlink>
    </w:p>
    <w:p>
      <w:pPr>
        <w:spacing w:before="13"/>
        <w:ind w:left="113" w:right="0" w:firstLine="0"/>
        <w:jc w:val="left"/>
        <w:rPr>
          <w:sz w:val="20"/>
        </w:rPr>
      </w:pPr>
      <w:hyperlink r:id="rId30">
        <w:r>
          <w:rPr>
            <w:sz w:val="20"/>
            <w:u w:val="single"/>
          </w:rPr>
          <w:t>http://isotc.iso.org/livelink/livelink/fetch/2000/2122/687806/Glossary.htm?nodeid=2778927&amp;vernum=0</w:t>
        </w:r>
      </w:hyperlink>
    </w:p>
    <w:p>
      <w:pPr>
        <w:pStyle w:val="BodyText"/>
        <w:spacing w:before="9"/>
        <w:rPr>
          <w:sz w:val="20"/>
        </w:rPr>
      </w:pPr>
    </w:p>
    <w:p>
      <w:pPr>
        <w:pStyle w:val="Heading3"/>
        <w:rPr>
          <w:i/>
          <w:u w:val="none"/>
        </w:rPr>
      </w:pPr>
      <w:hyperlink r:id="rId31">
        <w:r>
          <w:rPr>
            <w:i/>
            <w:u w:val="thick"/>
          </w:rPr>
          <w:t>General information on the principles of ISO's technical work</w:t>
        </w:r>
      </w:hyperlink>
    </w:p>
    <w:p>
      <w:pPr>
        <w:spacing w:before="11"/>
        <w:ind w:left="113" w:right="0" w:firstLine="0"/>
        <w:jc w:val="left"/>
        <w:rPr>
          <w:sz w:val="20"/>
        </w:rPr>
      </w:pPr>
      <w:hyperlink r:id="rId32">
        <w:r>
          <w:rPr>
            <w:sz w:val="20"/>
            <w:u w:val="single"/>
          </w:rPr>
          <w:t>http://www.iso.org/iso/standards_development.htm</w:t>
        </w:r>
      </w:hyperlink>
    </w:p>
    <w:p>
      <w:pPr>
        <w:pStyle w:val="BodyText"/>
        <w:spacing w:before="7"/>
        <w:rPr>
          <w:sz w:val="13"/>
        </w:rPr>
      </w:pPr>
    </w:p>
    <w:p>
      <w:pPr>
        <w:pStyle w:val="Heading3"/>
        <w:spacing w:before="94"/>
        <w:rPr>
          <w:i/>
          <w:u w:val="none"/>
        </w:rPr>
      </w:pPr>
      <w:r>
        <w:rPr>
          <w:i/>
          <w:u w:val="thick"/>
        </w:rPr>
        <w:t>UN Sustainable Development Goals</w:t>
      </w:r>
    </w:p>
    <w:p>
      <w:pPr>
        <w:spacing w:line="227" w:lineRule="exact" w:before="13"/>
        <w:ind w:left="113" w:right="0" w:firstLine="0"/>
        <w:jc w:val="left"/>
        <w:rPr>
          <w:sz w:val="20"/>
        </w:rPr>
      </w:pPr>
      <w:r>
        <w:rPr>
          <w:sz w:val="20"/>
          <w:u w:val="single"/>
        </w:rPr>
        <w:t>https://</w:t>
      </w:r>
      <w:hyperlink r:id="rId33">
        <w:r>
          <w:rPr>
            <w:sz w:val="20"/>
            <w:u w:val="single"/>
          </w:rPr>
          <w:t>www.iso.org/sdgs.html</w:t>
        </w:r>
      </w:hyperlink>
    </w:p>
    <w:p>
      <w:pPr>
        <w:tabs>
          <w:tab w:pos="646" w:val="left" w:leader="none"/>
          <w:tab w:pos="1286" w:val="left" w:leader="none"/>
        </w:tabs>
        <w:spacing w:line="411" w:lineRule="exact" w:before="0"/>
        <w:ind w:left="4" w:right="0" w:firstLine="0"/>
        <w:jc w:val="center"/>
        <w:rPr>
          <w:b/>
          <w:sz w:val="36"/>
        </w:rPr>
      </w:pPr>
      <w:r>
        <w:rPr>
          <w:b/>
          <w:sz w:val="36"/>
        </w:rPr>
        <w:t>*</w:t>
        <w:tab/>
        <w:t>*</w:t>
        <w:tab/>
        <w:t>*</w:t>
      </w:r>
    </w:p>
    <w:sectPr>
      <w:headerReference w:type="default" r:id="rId24"/>
      <w:pgSz w:w="11910" w:h="16850"/>
      <w:pgMar w:header="976" w:footer="0" w:top="1220" w:bottom="280" w:left="1060" w:right="10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Gill Sans MT">
    <w:altName w:val="Gill Sans MT"/>
    <w:charset w:val="0"/>
    <w:family w:val="swiss"/>
    <w:pitch w:val="variable"/>
  </w:font>
  <w:font w:name="Verdana">
    <w:altName w:val="Verdana"/>
    <w:charset w:val="0"/>
    <w:family w:val="swiss"/>
    <w:pitch w:val="variable"/>
  </w:font>
  <w:font w:name="SimSun">
    <w:altName w:val="SimSun"/>
    <w:charset w:val="0"/>
    <w:family w:val="auto"/>
    <w:pitch w:val="variable"/>
  </w:font>
  <w:font w:name="Corbel">
    <w:altName w:val="Corbel"/>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108.728004pt;margin-top:30.454626pt;width:431.1pt;height:27.95pt;mso-position-horizontal-relative:page;mso-position-vertical-relative:page;z-index:-252067840" type="#_x0000_t202" filled="false" stroked="false">
          <v:textbox inset="0,0,0,0">
            <w:txbxContent>
              <w:p>
                <w:pPr>
                  <w:tabs>
                    <w:tab w:pos="4827" w:val="left" w:leader="none"/>
                    <w:tab w:pos="6839" w:val="left" w:leader="none"/>
                  </w:tabs>
                  <w:spacing w:before="24"/>
                  <w:ind w:left="20" w:right="0" w:firstLine="0"/>
                  <w:jc w:val="left"/>
                  <w:rPr>
                    <w:rFonts w:ascii="Gill Sans MT"/>
                    <w:b/>
                    <w:sz w:val="44"/>
                  </w:rPr>
                </w:pPr>
                <w:r>
                  <w:rPr>
                    <w:rFonts w:ascii="Times New Roman"/>
                    <w:w w:val="100"/>
                    <w:sz w:val="29"/>
                    <w:u w:val="thick"/>
                  </w:rPr>
                  <w:t> </w:t>
                </w:r>
                <w:r>
                  <w:rPr>
                    <w:rFonts w:ascii="Times New Roman"/>
                    <w:sz w:val="29"/>
                    <w:u w:val="thick"/>
                  </w:rPr>
                  <w:tab/>
                </w:r>
                <w:r>
                  <w:rPr>
                    <w:rFonts w:ascii="Gill Sans MT"/>
                    <w:b/>
                    <w:w w:val="120"/>
                    <w:sz w:val="29"/>
                    <w:u w:val="thick"/>
                  </w:rPr>
                  <w:t>ISO/TC</w:t>
                </w:r>
                <w:r>
                  <w:rPr>
                    <w:rFonts w:ascii="Gill Sans MT"/>
                    <w:b/>
                    <w:spacing w:val="-39"/>
                    <w:w w:val="120"/>
                    <w:sz w:val="29"/>
                    <w:u w:val="thick"/>
                  </w:rPr>
                  <w:t> </w:t>
                </w:r>
                <w:r>
                  <w:rPr>
                    <w:rFonts w:ascii="Gill Sans MT"/>
                    <w:b/>
                    <w:w w:val="120"/>
                    <w:sz w:val="29"/>
                    <w:u w:val="thick"/>
                  </w:rPr>
                  <w:t>154</w:t>
                  <w:tab/>
                </w:r>
                <w:r>
                  <w:rPr>
                    <w:rFonts w:ascii="Gill Sans MT"/>
                    <w:b/>
                    <w:w w:val="120"/>
                    <w:sz w:val="44"/>
                    <w:u w:val="thick"/>
                  </w:rPr>
                  <w:t>N</w:t>
                </w:r>
                <w:r>
                  <w:rPr>
                    <w:rFonts w:ascii="Gill Sans MT"/>
                    <w:b/>
                    <w:spacing w:val="2"/>
                    <w:w w:val="120"/>
                    <w:sz w:val="44"/>
                    <w:u w:val="thick"/>
                  </w:rPr>
                  <w:t> </w:t>
                </w:r>
                <w:r>
                  <w:rPr>
                    <w:rFonts w:ascii="Gill Sans MT"/>
                    <w:b/>
                    <w:w w:val="120"/>
                    <w:sz w:val="44"/>
                    <w:u w:val="thick"/>
                  </w:rPr>
                  <w:t>1177</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05.869995pt;margin-top:35.205761pt;width:132.85pt;height:14.35pt;mso-position-horizontal-relative:page;mso-position-vertical-relative:page;z-index:-252066816" type="#_x0000_t202" filled="false" stroked="false">
          <v:textbox inset="0,0,0,0">
            <w:txbxContent>
              <w:p>
                <w:pPr>
                  <w:pStyle w:val="BodyText"/>
                  <w:spacing w:before="13"/>
                  <w:ind w:left="20"/>
                </w:pPr>
                <w:r>
                  <w:rPr/>
                  <w:t>ISO/TC 154 Business Plan</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7.68pt;margin-top:47.805759pt;width:58.45pt;height:14.35pt;mso-position-horizontal-relative:page;mso-position-vertical-relative:page;z-index:-252065792" type="#_x0000_t202" filled="false" stroked="false">
          <v:textbox inset="0,0,0,0">
            <w:txbxContent>
              <w:p>
                <w:pPr>
                  <w:pStyle w:val="BodyText"/>
                  <w:spacing w:before="13"/>
                  <w:ind w:left="20"/>
                </w:pPr>
                <w:r>
                  <w:rPr/>
                  <w:t>Page 2 of 7</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1.5pt;margin-top:47.805759pt;width:58.45pt;height:14.35pt;mso-position-horizontal-relative:page;mso-position-vertical-relative:page;z-index:-252064768" type="#_x0000_t202" filled="false" stroked="false">
          <v:textbox inset="0,0,0,0">
            <w:txbxContent>
              <w:p>
                <w:pPr>
                  <w:pStyle w:val="BodyText"/>
                  <w:spacing w:before="13"/>
                  <w:ind w:left="20"/>
                </w:pPr>
                <w:r>
                  <w:rPr/>
                  <w:t>Page 3 of 7</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7.68pt;margin-top:47.805759pt;width:58.45pt;height:14.35pt;mso-position-horizontal-relative:page;mso-position-vertical-relative:page;z-index:-252063744" type="#_x0000_t202" filled="false" stroked="false">
          <v:textbox inset="0,0,0,0">
            <w:txbxContent>
              <w:p>
                <w:pPr>
                  <w:pStyle w:val="BodyText"/>
                  <w:spacing w:before="13"/>
                  <w:ind w:left="20"/>
                </w:pPr>
                <w:r>
                  <w:rPr/>
                  <w:t>Page 4 of 7</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1.5pt;margin-top:47.805759pt;width:58.45pt;height:14.35pt;mso-position-horizontal-relative:page;mso-position-vertical-relative:page;z-index:-252062720" type="#_x0000_t202" filled="false" stroked="false">
          <v:textbox inset="0,0,0,0">
            <w:txbxContent>
              <w:p>
                <w:pPr>
                  <w:pStyle w:val="BodyText"/>
                  <w:spacing w:before="13"/>
                  <w:ind w:left="20"/>
                </w:pPr>
                <w:r>
                  <w:rPr/>
                  <w:t>Page 5 of 7</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7.68pt;margin-top:47.805759pt;width:58.45pt;height:14.35pt;mso-position-horizontal-relative:page;mso-position-vertical-relative:page;z-index:-252061696" type="#_x0000_t202" filled="false" stroked="false">
          <v:textbox inset="0,0,0,0">
            <w:txbxContent>
              <w:p>
                <w:pPr>
                  <w:pStyle w:val="BodyText"/>
                  <w:spacing w:before="13"/>
                  <w:ind w:left="20"/>
                </w:pPr>
                <w:r>
                  <w:rPr/>
                  <w:t>Page 6 of 7</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1.5pt;margin-top:47.805759pt;width:58.45pt;height:14.35pt;mso-position-horizontal-relative:page;mso-position-vertical-relative:page;z-index:-252060672" type="#_x0000_t202" filled="false" stroked="false">
          <v:textbox inset="0,0,0,0">
            <w:txbxContent>
              <w:p>
                <w:pPr>
                  <w:pStyle w:val="BodyText"/>
                  <w:spacing w:before="13"/>
                  <w:ind w:left="20"/>
                </w:pPr>
                <w:r>
                  <w:rPr/>
                  <w:t>Page 7 of 7</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2"/>
      <w:numFmt w:val="decimal"/>
      <w:lvlText w:val="%1）"/>
      <w:lvlJc w:val="left"/>
      <w:pPr>
        <w:ind w:left="424" w:hanging="311"/>
        <w:jc w:val="left"/>
      </w:pPr>
      <w:rPr>
        <w:rFonts w:hint="default" w:ascii="Arial" w:hAnsi="Arial" w:eastAsia="Arial" w:cs="Arial"/>
        <w:spacing w:val="-1"/>
        <w:w w:val="99"/>
        <w:sz w:val="18"/>
        <w:szCs w:val="18"/>
      </w:rPr>
    </w:lvl>
    <w:lvl w:ilvl="1">
      <w:start w:val="0"/>
      <w:numFmt w:val="bullet"/>
      <w:lvlText w:val="•"/>
      <w:lvlJc w:val="left"/>
      <w:pPr>
        <w:ind w:left="1360" w:hanging="311"/>
      </w:pPr>
      <w:rPr>
        <w:rFonts w:hint="default"/>
      </w:rPr>
    </w:lvl>
    <w:lvl w:ilvl="2">
      <w:start w:val="0"/>
      <w:numFmt w:val="bullet"/>
      <w:lvlText w:val="•"/>
      <w:lvlJc w:val="left"/>
      <w:pPr>
        <w:ind w:left="2301" w:hanging="311"/>
      </w:pPr>
      <w:rPr>
        <w:rFonts w:hint="default"/>
      </w:rPr>
    </w:lvl>
    <w:lvl w:ilvl="3">
      <w:start w:val="0"/>
      <w:numFmt w:val="bullet"/>
      <w:lvlText w:val="•"/>
      <w:lvlJc w:val="left"/>
      <w:pPr>
        <w:ind w:left="3241" w:hanging="311"/>
      </w:pPr>
      <w:rPr>
        <w:rFonts w:hint="default"/>
      </w:rPr>
    </w:lvl>
    <w:lvl w:ilvl="4">
      <w:start w:val="0"/>
      <w:numFmt w:val="bullet"/>
      <w:lvlText w:val="•"/>
      <w:lvlJc w:val="left"/>
      <w:pPr>
        <w:ind w:left="4182" w:hanging="311"/>
      </w:pPr>
      <w:rPr>
        <w:rFonts w:hint="default"/>
      </w:rPr>
    </w:lvl>
    <w:lvl w:ilvl="5">
      <w:start w:val="0"/>
      <w:numFmt w:val="bullet"/>
      <w:lvlText w:val="•"/>
      <w:lvlJc w:val="left"/>
      <w:pPr>
        <w:ind w:left="5123" w:hanging="311"/>
      </w:pPr>
      <w:rPr>
        <w:rFonts w:hint="default"/>
      </w:rPr>
    </w:lvl>
    <w:lvl w:ilvl="6">
      <w:start w:val="0"/>
      <w:numFmt w:val="bullet"/>
      <w:lvlText w:val="•"/>
      <w:lvlJc w:val="left"/>
      <w:pPr>
        <w:ind w:left="6063" w:hanging="311"/>
      </w:pPr>
      <w:rPr>
        <w:rFonts w:hint="default"/>
      </w:rPr>
    </w:lvl>
    <w:lvl w:ilvl="7">
      <w:start w:val="0"/>
      <w:numFmt w:val="bullet"/>
      <w:lvlText w:val="•"/>
      <w:lvlJc w:val="left"/>
      <w:pPr>
        <w:ind w:left="7004" w:hanging="311"/>
      </w:pPr>
      <w:rPr>
        <w:rFonts w:hint="default"/>
      </w:rPr>
    </w:lvl>
    <w:lvl w:ilvl="8">
      <w:start w:val="0"/>
      <w:numFmt w:val="bullet"/>
      <w:lvlText w:val="•"/>
      <w:lvlJc w:val="left"/>
      <w:pPr>
        <w:ind w:left="7945" w:hanging="311"/>
      </w:pPr>
      <w:rPr>
        <w:rFonts w:hint="default"/>
      </w:rPr>
    </w:lvl>
  </w:abstractNum>
  <w:abstractNum w:abstractNumId="5">
    <w:multiLevelType w:val="hybridMultilevel"/>
    <w:lvl w:ilvl="0">
      <w:start w:val="1"/>
      <w:numFmt w:val="decimal"/>
      <w:lvlText w:val="%1."/>
      <w:lvlJc w:val="left"/>
      <w:pPr>
        <w:ind w:left="474" w:hanging="361"/>
        <w:jc w:val="left"/>
      </w:pPr>
      <w:rPr>
        <w:rFonts w:hint="default" w:ascii="Arial" w:hAnsi="Arial" w:eastAsia="Arial" w:cs="Arial"/>
        <w:spacing w:val="-1"/>
        <w:w w:val="100"/>
        <w:sz w:val="22"/>
        <w:szCs w:val="22"/>
      </w:rPr>
    </w:lvl>
    <w:lvl w:ilvl="1">
      <w:start w:val="0"/>
      <w:numFmt w:val="bullet"/>
      <w:lvlText w:val="•"/>
      <w:lvlJc w:val="left"/>
      <w:pPr>
        <w:ind w:left="1414" w:hanging="361"/>
      </w:pPr>
      <w:rPr>
        <w:rFonts w:hint="default"/>
      </w:rPr>
    </w:lvl>
    <w:lvl w:ilvl="2">
      <w:start w:val="0"/>
      <w:numFmt w:val="bullet"/>
      <w:lvlText w:val="•"/>
      <w:lvlJc w:val="left"/>
      <w:pPr>
        <w:ind w:left="2349" w:hanging="361"/>
      </w:pPr>
      <w:rPr>
        <w:rFonts w:hint="default"/>
      </w:rPr>
    </w:lvl>
    <w:lvl w:ilvl="3">
      <w:start w:val="0"/>
      <w:numFmt w:val="bullet"/>
      <w:lvlText w:val="•"/>
      <w:lvlJc w:val="left"/>
      <w:pPr>
        <w:ind w:left="3283" w:hanging="361"/>
      </w:pPr>
      <w:rPr>
        <w:rFonts w:hint="default"/>
      </w:rPr>
    </w:lvl>
    <w:lvl w:ilvl="4">
      <w:start w:val="0"/>
      <w:numFmt w:val="bullet"/>
      <w:lvlText w:val="•"/>
      <w:lvlJc w:val="left"/>
      <w:pPr>
        <w:ind w:left="4218" w:hanging="361"/>
      </w:pPr>
      <w:rPr>
        <w:rFonts w:hint="default"/>
      </w:rPr>
    </w:lvl>
    <w:lvl w:ilvl="5">
      <w:start w:val="0"/>
      <w:numFmt w:val="bullet"/>
      <w:lvlText w:val="•"/>
      <w:lvlJc w:val="left"/>
      <w:pPr>
        <w:ind w:left="5153" w:hanging="361"/>
      </w:pPr>
      <w:rPr>
        <w:rFonts w:hint="default"/>
      </w:rPr>
    </w:lvl>
    <w:lvl w:ilvl="6">
      <w:start w:val="0"/>
      <w:numFmt w:val="bullet"/>
      <w:lvlText w:val="•"/>
      <w:lvlJc w:val="left"/>
      <w:pPr>
        <w:ind w:left="6087" w:hanging="361"/>
      </w:pPr>
      <w:rPr>
        <w:rFonts w:hint="default"/>
      </w:rPr>
    </w:lvl>
    <w:lvl w:ilvl="7">
      <w:start w:val="0"/>
      <w:numFmt w:val="bullet"/>
      <w:lvlText w:val="•"/>
      <w:lvlJc w:val="left"/>
      <w:pPr>
        <w:ind w:left="7022" w:hanging="361"/>
      </w:pPr>
      <w:rPr>
        <w:rFonts w:hint="default"/>
      </w:rPr>
    </w:lvl>
    <w:lvl w:ilvl="8">
      <w:start w:val="0"/>
      <w:numFmt w:val="bullet"/>
      <w:lvlText w:val="•"/>
      <w:lvlJc w:val="left"/>
      <w:pPr>
        <w:ind w:left="7957" w:hanging="361"/>
      </w:pPr>
      <w:rPr>
        <w:rFonts w:hint="default"/>
      </w:rPr>
    </w:lvl>
  </w:abstractNum>
  <w:abstractNum w:abstractNumId="4">
    <w:multiLevelType w:val="hybridMultilevel"/>
    <w:lvl w:ilvl="0">
      <w:start w:val="1"/>
      <w:numFmt w:val="decimal"/>
      <w:lvlText w:val="%1."/>
      <w:lvlJc w:val="left"/>
      <w:pPr>
        <w:ind w:left="474" w:hanging="361"/>
        <w:jc w:val="left"/>
      </w:pPr>
      <w:rPr>
        <w:rFonts w:hint="default" w:ascii="Arial" w:hAnsi="Arial" w:eastAsia="Arial" w:cs="Arial"/>
        <w:spacing w:val="-1"/>
        <w:w w:val="100"/>
        <w:sz w:val="22"/>
        <w:szCs w:val="22"/>
      </w:rPr>
    </w:lvl>
    <w:lvl w:ilvl="1">
      <w:start w:val="0"/>
      <w:numFmt w:val="bullet"/>
      <w:lvlText w:val="•"/>
      <w:lvlJc w:val="left"/>
      <w:pPr>
        <w:ind w:left="1414" w:hanging="361"/>
      </w:pPr>
      <w:rPr>
        <w:rFonts w:hint="default"/>
      </w:rPr>
    </w:lvl>
    <w:lvl w:ilvl="2">
      <w:start w:val="0"/>
      <w:numFmt w:val="bullet"/>
      <w:lvlText w:val="•"/>
      <w:lvlJc w:val="left"/>
      <w:pPr>
        <w:ind w:left="2349" w:hanging="361"/>
      </w:pPr>
      <w:rPr>
        <w:rFonts w:hint="default"/>
      </w:rPr>
    </w:lvl>
    <w:lvl w:ilvl="3">
      <w:start w:val="0"/>
      <w:numFmt w:val="bullet"/>
      <w:lvlText w:val="•"/>
      <w:lvlJc w:val="left"/>
      <w:pPr>
        <w:ind w:left="3283" w:hanging="361"/>
      </w:pPr>
      <w:rPr>
        <w:rFonts w:hint="default"/>
      </w:rPr>
    </w:lvl>
    <w:lvl w:ilvl="4">
      <w:start w:val="0"/>
      <w:numFmt w:val="bullet"/>
      <w:lvlText w:val="•"/>
      <w:lvlJc w:val="left"/>
      <w:pPr>
        <w:ind w:left="4218" w:hanging="361"/>
      </w:pPr>
      <w:rPr>
        <w:rFonts w:hint="default"/>
      </w:rPr>
    </w:lvl>
    <w:lvl w:ilvl="5">
      <w:start w:val="0"/>
      <w:numFmt w:val="bullet"/>
      <w:lvlText w:val="•"/>
      <w:lvlJc w:val="left"/>
      <w:pPr>
        <w:ind w:left="5153" w:hanging="361"/>
      </w:pPr>
      <w:rPr>
        <w:rFonts w:hint="default"/>
      </w:rPr>
    </w:lvl>
    <w:lvl w:ilvl="6">
      <w:start w:val="0"/>
      <w:numFmt w:val="bullet"/>
      <w:lvlText w:val="•"/>
      <w:lvlJc w:val="left"/>
      <w:pPr>
        <w:ind w:left="6087" w:hanging="361"/>
      </w:pPr>
      <w:rPr>
        <w:rFonts w:hint="default"/>
      </w:rPr>
    </w:lvl>
    <w:lvl w:ilvl="7">
      <w:start w:val="0"/>
      <w:numFmt w:val="bullet"/>
      <w:lvlText w:val="•"/>
      <w:lvlJc w:val="left"/>
      <w:pPr>
        <w:ind w:left="7022" w:hanging="361"/>
      </w:pPr>
      <w:rPr>
        <w:rFonts w:hint="default"/>
      </w:rPr>
    </w:lvl>
    <w:lvl w:ilvl="8">
      <w:start w:val="0"/>
      <w:numFmt w:val="bullet"/>
      <w:lvlText w:val="•"/>
      <w:lvlJc w:val="left"/>
      <w:pPr>
        <w:ind w:left="7957" w:hanging="361"/>
      </w:pPr>
      <w:rPr>
        <w:rFonts w:hint="default"/>
      </w:rPr>
    </w:lvl>
  </w:abstractNum>
  <w:abstractNum w:abstractNumId="3">
    <w:multiLevelType w:val="hybridMultilevel"/>
    <w:lvl w:ilvl="0">
      <w:start w:val="1"/>
      <w:numFmt w:val="decimal"/>
      <w:lvlText w:val="%1."/>
      <w:lvlJc w:val="left"/>
      <w:pPr>
        <w:ind w:left="474" w:hanging="361"/>
        <w:jc w:val="left"/>
      </w:pPr>
      <w:rPr>
        <w:rFonts w:hint="default" w:ascii="Arial" w:hAnsi="Arial" w:eastAsia="Arial" w:cs="Arial"/>
        <w:spacing w:val="-1"/>
        <w:w w:val="100"/>
        <w:sz w:val="22"/>
        <w:szCs w:val="22"/>
      </w:rPr>
    </w:lvl>
    <w:lvl w:ilvl="1">
      <w:start w:val="0"/>
      <w:numFmt w:val="bullet"/>
      <w:lvlText w:val="•"/>
      <w:lvlJc w:val="left"/>
      <w:pPr>
        <w:ind w:left="1414" w:hanging="361"/>
      </w:pPr>
      <w:rPr>
        <w:rFonts w:hint="default"/>
      </w:rPr>
    </w:lvl>
    <w:lvl w:ilvl="2">
      <w:start w:val="0"/>
      <w:numFmt w:val="bullet"/>
      <w:lvlText w:val="•"/>
      <w:lvlJc w:val="left"/>
      <w:pPr>
        <w:ind w:left="2349" w:hanging="361"/>
      </w:pPr>
      <w:rPr>
        <w:rFonts w:hint="default"/>
      </w:rPr>
    </w:lvl>
    <w:lvl w:ilvl="3">
      <w:start w:val="0"/>
      <w:numFmt w:val="bullet"/>
      <w:lvlText w:val="•"/>
      <w:lvlJc w:val="left"/>
      <w:pPr>
        <w:ind w:left="3283" w:hanging="361"/>
      </w:pPr>
      <w:rPr>
        <w:rFonts w:hint="default"/>
      </w:rPr>
    </w:lvl>
    <w:lvl w:ilvl="4">
      <w:start w:val="0"/>
      <w:numFmt w:val="bullet"/>
      <w:lvlText w:val="•"/>
      <w:lvlJc w:val="left"/>
      <w:pPr>
        <w:ind w:left="4218" w:hanging="361"/>
      </w:pPr>
      <w:rPr>
        <w:rFonts w:hint="default"/>
      </w:rPr>
    </w:lvl>
    <w:lvl w:ilvl="5">
      <w:start w:val="0"/>
      <w:numFmt w:val="bullet"/>
      <w:lvlText w:val="•"/>
      <w:lvlJc w:val="left"/>
      <w:pPr>
        <w:ind w:left="5153" w:hanging="361"/>
      </w:pPr>
      <w:rPr>
        <w:rFonts w:hint="default"/>
      </w:rPr>
    </w:lvl>
    <w:lvl w:ilvl="6">
      <w:start w:val="0"/>
      <w:numFmt w:val="bullet"/>
      <w:lvlText w:val="•"/>
      <w:lvlJc w:val="left"/>
      <w:pPr>
        <w:ind w:left="6087" w:hanging="361"/>
      </w:pPr>
      <w:rPr>
        <w:rFonts w:hint="default"/>
      </w:rPr>
    </w:lvl>
    <w:lvl w:ilvl="7">
      <w:start w:val="0"/>
      <w:numFmt w:val="bullet"/>
      <w:lvlText w:val="•"/>
      <w:lvlJc w:val="left"/>
      <w:pPr>
        <w:ind w:left="7022" w:hanging="361"/>
      </w:pPr>
      <w:rPr>
        <w:rFonts w:hint="default"/>
      </w:rPr>
    </w:lvl>
    <w:lvl w:ilvl="8">
      <w:start w:val="0"/>
      <w:numFmt w:val="bullet"/>
      <w:lvlText w:val="•"/>
      <w:lvlJc w:val="left"/>
      <w:pPr>
        <w:ind w:left="7957" w:hanging="361"/>
      </w:pPr>
      <w:rPr>
        <w:rFonts w:hint="default"/>
      </w:rPr>
    </w:lvl>
  </w:abstractNum>
  <w:abstractNum w:abstractNumId="2">
    <w:multiLevelType w:val="hybridMultilevel"/>
    <w:lvl w:ilvl="0">
      <w:start w:val="4"/>
      <w:numFmt w:val="decimal"/>
      <w:lvlText w:val="%1"/>
      <w:lvlJc w:val="left"/>
      <w:pPr>
        <w:ind w:left="822" w:hanging="709"/>
        <w:jc w:val="left"/>
      </w:pPr>
      <w:rPr>
        <w:rFonts w:hint="default" w:ascii="Arial" w:hAnsi="Arial" w:eastAsia="Arial" w:cs="Arial"/>
        <w:b/>
        <w:bCs/>
        <w:w w:val="99"/>
        <w:sz w:val="24"/>
        <w:szCs w:val="24"/>
      </w:rPr>
    </w:lvl>
    <w:lvl w:ilvl="1">
      <w:start w:val="1"/>
      <w:numFmt w:val="decimal"/>
      <w:lvlText w:val="%1.%2"/>
      <w:lvlJc w:val="left"/>
      <w:pPr>
        <w:ind w:left="113" w:hanging="567"/>
        <w:jc w:val="left"/>
      </w:pPr>
      <w:rPr>
        <w:rFonts w:hint="default" w:ascii="Arial" w:hAnsi="Arial" w:eastAsia="Arial" w:cs="Arial"/>
        <w:b/>
        <w:bCs/>
        <w:w w:val="100"/>
        <w:sz w:val="22"/>
        <w:szCs w:val="22"/>
      </w:rPr>
    </w:lvl>
    <w:lvl w:ilvl="2">
      <w:start w:val="0"/>
      <w:numFmt w:val="bullet"/>
      <w:lvlText w:val="•"/>
      <w:lvlJc w:val="left"/>
      <w:pPr>
        <w:ind w:left="820" w:hanging="567"/>
      </w:pPr>
      <w:rPr>
        <w:rFonts w:hint="default"/>
      </w:rPr>
    </w:lvl>
    <w:lvl w:ilvl="3">
      <w:start w:val="0"/>
      <w:numFmt w:val="bullet"/>
      <w:lvlText w:val="•"/>
      <w:lvlJc w:val="left"/>
      <w:pPr>
        <w:ind w:left="1945" w:hanging="567"/>
      </w:pPr>
      <w:rPr>
        <w:rFonts w:hint="default"/>
      </w:rPr>
    </w:lvl>
    <w:lvl w:ilvl="4">
      <w:start w:val="0"/>
      <w:numFmt w:val="bullet"/>
      <w:lvlText w:val="•"/>
      <w:lvlJc w:val="left"/>
      <w:pPr>
        <w:ind w:left="3071" w:hanging="567"/>
      </w:pPr>
      <w:rPr>
        <w:rFonts w:hint="default"/>
      </w:rPr>
    </w:lvl>
    <w:lvl w:ilvl="5">
      <w:start w:val="0"/>
      <w:numFmt w:val="bullet"/>
      <w:lvlText w:val="•"/>
      <w:lvlJc w:val="left"/>
      <w:pPr>
        <w:ind w:left="4197" w:hanging="567"/>
      </w:pPr>
      <w:rPr>
        <w:rFonts w:hint="default"/>
      </w:rPr>
    </w:lvl>
    <w:lvl w:ilvl="6">
      <w:start w:val="0"/>
      <w:numFmt w:val="bullet"/>
      <w:lvlText w:val="•"/>
      <w:lvlJc w:val="left"/>
      <w:pPr>
        <w:ind w:left="5323" w:hanging="567"/>
      </w:pPr>
      <w:rPr>
        <w:rFonts w:hint="default"/>
      </w:rPr>
    </w:lvl>
    <w:lvl w:ilvl="7">
      <w:start w:val="0"/>
      <w:numFmt w:val="bullet"/>
      <w:lvlText w:val="•"/>
      <w:lvlJc w:val="left"/>
      <w:pPr>
        <w:ind w:left="6449" w:hanging="567"/>
      </w:pPr>
      <w:rPr>
        <w:rFonts w:hint="default"/>
      </w:rPr>
    </w:lvl>
    <w:lvl w:ilvl="8">
      <w:start w:val="0"/>
      <w:numFmt w:val="bullet"/>
      <w:lvlText w:val="•"/>
      <w:lvlJc w:val="left"/>
      <w:pPr>
        <w:ind w:left="7574" w:hanging="567"/>
      </w:pPr>
      <w:rPr>
        <w:rFonts w:hint="default"/>
      </w:rPr>
    </w:lvl>
  </w:abstractNum>
  <w:abstractNum w:abstractNumId="1">
    <w:multiLevelType w:val="hybridMultilevel"/>
    <w:lvl w:ilvl="0">
      <w:start w:val="0"/>
      <w:numFmt w:val="bullet"/>
      <w:lvlText w:val="-"/>
      <w:lvlJc w:val="left"/>
      <w:pPr>
        <w:ind w:left="474" w:hanging="361"/>
      </w:pPr>
      <w:rPr>
        <w:rFonts w:hint="default" w:ascii="Arial" w:hAnsi="Arial" w:eastAsia="Arial" w:cs="Arial"/>
        <w:w w:val="100"/>
        <w:sz w:val="22"/>
        <w:szCs w:val="22"/>
      </w:rPr>
    </w:lvl>
    <w:lvl w:ilvl="1">
      <w:start w:val="0"/>
      <w:numFmt w:val="bullet"/>
      <w:lvlText w:val="•"/>
      <w:lvlJc w:val="left"/>
      <w:pPr>
        <w:ind w:left="1414" w:hanging="361"/>
      </w:pPr>
      <w:rPr>
        <w:rFonts w:hint="default"/>
      </w:rPr>
    </w:lvl>
    <w:lvl w:ilvl="2">
      <w:start w:val="0"/>
      <w:numFmt w:val="bullet"/>
      <w:lvlText w:val="•"/>
      <w:lvlJc w:val="left"/>
      <w:pPr>
        <w:ind w:left="2349" w:hanging="361"/>
      </w:pPr>
      <w:rPr>
        <w:rFonts w:hint="default"/>
      </w:rPr>
    </w:lvl>
    <w:lvl w:ilvl="3">
      <w:start w:val="0"/>
      <w:numFmt w:val="bullet"/>
      <w:lvlText w:val="•"/>
      <w:lvlJc w:val="left"/>
      <w:pPr>
        <w:ind w:left="3283" w:hanging="361"/>
      </w:pPr>
      <w:rPr>
        <w:rFonts w:hint="default"/>
      </w:rPr>
    </w:lvl>
    <w:lvl w:ilvl="4">
      <w:start w:val="0"/>
      <w:numFmt w:val="bullet"/>
      <w:lvlText w:val="•"/>
      <w:lvlJc w:val="left"/>
      <w:pPr>
        <w:ind w:left="4218" w:hanging="361"/>
      </w:pPr>
      <w:rPr>
        <w:rFonts w:hint="default"/>
      </w:rPr>
    </w:lvl>
    <w:lvl w:ilvl="5">
      <w:start w:val="0"/>
      <w:numFmt w:val="bullet"/>
      <w:lvlText w:val="•"/>
      <w:lvlJc w:val="left"/>
      <w:pPr>
        <w:ind w:left="5153" w:hanging="361"/>
      </w:pPr>
      <w:rPr>
        <w:rFonts w:hint="default"/>
      </w:rPr>
    </w:lvl>
    <w:lvl w:ilvl="6">
      <w:start w:val="0"/>
      <w:numFmt w:val="bullet"/>
      <w:lvlText w:val="•"/>
      <w:lvlJc w:val="left"/>
      <w:pPr>
        <w:ind w:left="6087" w:hanging="361"/>
      </w:pPr>
      <w:rPr>
        <w:rFonts w:hint="default"/>
      </w:rPr>
    </w:lvl>
    <w:lvl w:ilvl="7">
      <w:start w:val="0"/>
      <w:numFmt w:val="bullet"/>
      <w:lvlText w:val="•"/>
      <w:lvlJc w:val="left"/>
      <w:pPr>
        <w:ind w:left="7022" w:hanging="361"/>
      </w:pPr>
      <w:rPr>
        <w:rFonts w:hint="default"/>
      </w:rPr>
    </w:lvl>
    <w:lvl w:ilvl="8">
      <w:start w:val="0"/>
      <w:numFmt w:val="bullet"/>
      <w:lvlText w:val="•"/>
      <w:lvlJc w:val="left"/>
      <w:pPr>
        <w:ind w:left="7957" w:hanging="361"/>
      </w:pPr>
      <w:rPr>
        <w:rFonts w:hint="default"/>
      </w:rPr>
    </w:lvl>
  </w:abstractNum>
  <w:abstractNum w:abstractNumId="0">
    <w:multiLevelType w:val="hybridMultilevel"/>
    <w:lvl w:ilvl="0">
      <w:start w:val="1"/>
      <w:numFmt w:val="decimal"/>
      <w:lvlText w:val="%1"/>
      <w:lvlJc w:val="left"/>
      <w:pPr>
        <w:ind w:left="822" w:hanging="709"/>
        <w:jc w:val="left"/>
      </w:pPr>
      <w:rPr>
        <w:rFonts w:hint="default" w:ascii="Arial" w:hAnsi="Arial" w:eastAsia="Arial" w:cs="Arial"/>
        <w:b/>
        <w:bCs/>
        <w:w w:val="99"/>
        <w:sz w:val="24"/>
        <w:szCs w:val="24"/>
      </w:rPr>
    </w:lvl>
    <w:lvl w:ilvl="1">
      <w:start w:val="1"/>
      <w:numFmt w:val="decimal"/>
      <w:lvlText w:val="%1.%2"/>
      <w:lvlJc w:val="left"/>
      <w:pPr>
        <w:ind w:left="680" w:hanging="567"/>
        <w:jc w:val="left"/>
      </w:pPr>
      <w:rPr>
        <w:rFonts w:hint="default" w:ascii="Arial" w:hAnsi="Arial" w:eastAsia="Arial" w:cs="Arial"/>
        <w:b/>
        <w:bCs/>
        <w:w w:val="100"/>
        <w:sz w:val="22"/>
        <w:szCs w:val="22"/>
      </w:rPr>
    </w:lvl>
    <w:lvl w:ilvl="2">
      <w:start w:val="0"/>
      <w:numFmt w:val="bullet"/>
      <w:lvlText w:val="•"/>
      <w:lvlJc w:val="left"/>
      <w:pPr>
        <w:ind w:left="1820" w:hanging="567"/>
      </w:pPr>
      <w:rPr>
        <w:rFonts w:hint="default"/>
      </w:rPr>
    </w:lvl>
    <w:lvl w:ilvl="3">
      <w:start w:val="0"/>
      <w:numFmt w:val="bullet"/>
      <w:lvlText w:val="•"/>
      <w:lvlJc w:val="left"/>
      <w:pPr>
        <w:ind w:left="2821" w:hanging="567"/>
      </w:pPr>
      <w:rPr>
        <w:rFonts w:hint="default"/>
      </w:rPr>
    </w:lvl>
    <w:lvl w:ilvl="4">
      <w:start w:val="0"/>
      <w:numFmt w:val="bullet"/>
      <w:lvlText w:val="•"/>
      <w:lvlJc w:val="left"/>
      <w:pPr>
        <w:ind w:left="3822" w:hanging="567"/>
      </w:pPr>
      <w:rPr>
        <w:rFonts w:hint="default"/>
      </w:rPr>
    </w:lvl>
    <w:lvl w:ilvl="5">
      <w:start w:val="0"/>
      <w:numFmt w:val="bullet"/>
      <w:lvlText w:val="•"/>
      <w:lvlJc w:val="left"/>
      <w:pPr>
        <w:ind w:left="4822" w:hanging="567"/>
      </w:pPr>
      <w:rPr>
        <w:rFonts w:hint="default"/>
      </w:rPr>
    </w:lvl>
    <w:lvl w:ilvl="6">
      <w:start w:val="0"/>
      <w:numFmt w:val="bullet"/>
      <w:lvlText w:val="•"/>
      <w:lvlJc w:val="left"/>
      <w:pPr>
        <w:ind w:left="5823" w:hanging="567"/>
      </w:pPr>
      <w:rPr>
        <w:rFonts w:hint="default"/>
      </w:rPr>
    </w:lvl>
    <w:lvl w:ilvl="7">
      <w:start w:val="0"/>
      <w:numFmt w:val="bullet"/>
      <w:lvlText w:val="•"/>
      <w:lvlJc w:val="left"/>
      <w:pPr>
        <w:ind w:left="6824" w:hanging="567"/>
      </w:pPr>
      <w:rPr>
        <w:rFonts w:hint="default"/>
      </w:rPr>
    </w:lvl>
    <w:lvl w:ilvl="8">
      <w:start w:val="0"/>
      <w:numFmt w:val="bullet"/>
      <w:lvlText w:val="•"/>
      <w:lvlJc w:val="left"/>
      <w:pPr>
        <w:ind w:left="7824" w:hanging="567"/>
      </w:pPr>
      <w:rPr>
        <w:rFonts w:hint="default"/>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22"/>
      <w:szCs w:val="22"/>
    </w:rPr>
  </w:style>
  <w:style w:styleId="Heading1" w:type="paragraph">
    <w:name w:val="Heading 1"/>
    <w:basedOn w:val="Normal"/>
    <w:uiPriority w:val="1"/>
    <w:qFormat/>
    <w:pPr>
      <w:ind w:left="822" w:hanging="710"/>
      <w:outlineLvl w:val="1"/>
    </w:pPr>
    <w:rPr>
      <w:rFonts w:ascii="Arial" w:hAnsi="Arial" w:eastAsia="Arial" w:cs="Arial"/>
      <w:b/>
      <w:bCs/>
      <w:sz w:val="24"/>
      <w:szCs w:val="24"/>
    </w:rPr>
  </w:style>
  <w:style w:styleId="Heading2" w:type="paragraph">
    <w:name w:val="Heading 2"/>
    <w:basedOn w:val="Normal"/>
    <w:uiPriority w:val="1"/>
    <w:qFormat/>
    <w:pPr>
      <w:ind w:left="680"/>
      <w:outlineLvl w:val="2"/>
    </w:pPr>
    <w:rPr>
      <w:rFonts w:ascii="Arial" w:hAnsi="Arial" w:eastAsia="Arial" w:cs="Arial"/>
      <w:b/>
      <w:bCs/>
      <w:sz w:val="22"/>
      <w:szCs w:val="22"/>
    </w:rPr>
  </w:style>
  <w:style w:styleId="Heading3" w:type="paragraph">
    <w:name w:val="Heading 3"/>
    <w:basedOn w:val="Normal"/>
    <w:uiPriority w:val="1"/>
    <w:qFormat/>
    <w:pPr>
      <w:ind w:left="113"/>
      <w:outlineLvl w:val="3"/>
    </w:pPr>
    <w:rPr>
      <w:rFonts w:ascii="Arial" w:hAnsi="Arial" w:eastAsia="Arial" w:cs="Arial"/>
      <w:b/>
      <w:bCs/>
      <w:i/>
      <w:sz w:val="22"/>
      <w:szCs w:val="22"/>
      <w:u w:val="single" w:color="000000"/>
    </w:rPr>
  </w:style>
  <w:style w:styleId="ListParagraph" w:type="paragraph">
    <w:name w:val="List Paragraph"/>
    <w:basedOn w:val="Normal"/>
    <w:uiPriority w:val="1"/>
    <w:qFormat/>
    <w:pPr>
      <w:ind w:left="474" w:hanging="362"/>
    </w:pPr>
    <w:rPr>
      <w:rFonts w:ascii="Arial" w:hAnsi="Arial" w:eastAsia="Arial" w:cs="Arial"/>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hyperlink" Target="mailto:zhangjf@cnis.ac.cn" TargetMode="External"/><Relationship Id="rId8" Type="http://schemas.openxmlformats.org/officeDocument/2006/relationships/hyperlink" Target="https://isotc.iso.org/livelink/livelink/open/tc154" TargetMode="External"/><Relationship Id="rId9" Type="http://schemas.openxmlformats.org/officeDocument/2006/relationships/header" Target="header2.xml"/><Relationship Id="rId10" Type="http://schemas.openxmlformats.org/officeDocument/2006/relationships/image" Target="media/image2.png"/><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hyperlink" Target="http://www.doingbusiness.org/ExploreTopics/TradingAcrossBorders/" TargetMode="Externa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hyperlink" Target="http://www.iso.org/committee/53186.html?view=participation" TargetMode="External"/><Relationship Id="rId17" Type="http://schemas.openxmlformats.org/officeDocument/2006/relationships/hyperlink" Target="https://www.iso.org/committee/53186.html?view=participation" TargetMode="External"/><Relationship Id="rId18" Type="http://schemas.openxmlformats.org/officeDocument/2006/relationships/hyperlink" Target="http://www.iso.org/committee/53186.html" TargetMode="External"/><Relationship Id="rId19" Type="http://schemas.openxmlformats.org/officeDocument/2006/relationships/hyperlink" Target="http://isotc.iso.org/livelink/livelink/fetch/2000/2489/Ittf_Home/MoU-MG/MoumgDocs.html?%3FRedirect=1" TargetMode="External"/><Relationship Id="rId20" Type="http://schemas.openxmlformats.org/officeDocument/2006/relationships/hyperlink" Target="https://www.itu.int/ITU-T/e-business/files/mou.pdf" TargetMode="External"/><Relationship Id="rId21" Type="http://schemas.openxmlformats.org/officeDocument/2006/relationships/hyperlink" Target="http://www.itu.int/ITU-T/e-business/mou/index.html" TargetMode="External"/><Relationship Id="rId22" Type="http://schemas.openxmlformats.org/officeDocument/2006/relationships/header" Target="header7.xml"/><Relationship Id="rId23" Type="http://schemas.openxmlformats.org/officeDocument/2006/relationships/hyperlink" Target="http://www.iso.org/iso/standards_development/technical_committees/list_of_iso_technical_committees/iso_technical_committee.htm?commid=53186" TargetMode="External"/><Relationship Id="rId24" Type="http://schemas.openxmlformats.org/officeDocument/2006/relationships/header" Target="header8.xml"/><Relationship Id="rId25" Type="http://schemas.openxmlformats.org/officeDocument/2006/relationships/hyperlink" Target="http://www.iso.org/iso/iso_catalogue/catalogue_tc/catalogue_tc_browse.htm?commid=53186&amp;development=on" TargetMode="External"/><Relationship Id="rId26" Type="http://schemas.openxmlformats.org/officeDocument/2006/relationships/hyperlink" Target="http://www.iso.org/committee/53186/x/catalogue/p/0/u/1/w/0/d/0" TargetMode="External"/><Relationship Id="rId27" Type="http://schemas.openxmlformats.org/officeDocument/2006/relationships/hyperlink" Target="http://www.iso.org/iso/iso_catalogue/catalogue_tc/catalogue_tc_browse.htm?commid=53186&amp;published=on" TargetMode="External"/><Relationship Id="rId28" Type="http://schemas.openxmlformats.org/officeDocument/2006/relationships/hyperlink" Target="http://www.iso.org/committee/53186/x/catalogue/p/1/u/0/w/0/d/0" TargetMode="External"/><Relationship Id="rId29" Type="http://schemas.openxmlformats.org/officeDocument/2006/relationships/hyperlink" Target="http://isotc.iso.ch/livelink/livelink.exe/fetch/2000/2122/687806/Glossary.htm?nodeid=2778927&amp;vernum=0" TargetMode="External"/><Relationship Id="rId30" Type="http://schemas.openxmlformats.org/officeDocument/2006/relationships/hyperlink" Target="http://isotc.iso.org/livelink/livelink/fetch/2000/2122/687806/Glossary.htm?nodeid=2778927&amp;vernum=0" TargetMode="External"/><Relationship Id="rId31" Type="http://schemas.openxmlformats.org/officeDocument/2006/relationships/hyperlink" Target="http://www.iso.org/iso/en/stdsdevelopment/whowhenhow/how.html" TargetMode="External"/><Relationship Id="rId32" Type="http://schemas.openxmlformats.org/officeDocument/2006/relationships/hyperlink" Target="http://www.iso.org/iso/standards_development.htm" TargetMode="External"/><Relationship Id="rId33" Type="http://schemas.openxmlformats.org/officeDocument/2006/relationships/hyperlink" Target="http://www.iso.org/sdgs.html" TargetMode="External"/><Relationship Id="rId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2024-11-18T13:42:46Z</dcterms:created>
  <dcterms:modified xsi:type="dcterms:W3CDTF">2024-11-18T13:42:46Z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2020-08-26T00:00:00Z</vt:filetime>
  </property>
  <property fmtid="{D5CDD505-2E9C-101B-9397-08002B2CF9AE}" pid="3" name="LastSaved">
    <vt:filetime>2024-11-18T00:00:00Z</vt:filetime>
  </property>
</Properties>
</file>